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000000"/>
          <w:sz w:val="44"/>
          <w:szCs w:val="44"/>
          <w:lang w:eastAsia="zh-CN"/>
        </w:rPr>
      </w:pPr>
      <w:r>
        <w:rPr>
          <w:rFonts w:hint="eastAsia" w:ascii="宋体" w:hAnsi="宋体" w:eastAsia="宋体" w:cs="宋体"/>
          <w:b/>
          <w:bCs/>
          <w:color w:val="000000"/>
          <w:sz w:val="44"/>
          <w:szCs w:val="44"/>
          <w:lang w:eastAsia="zh-CN"/>
        </w:rPr>
        <w:t>夏县</w:t>
      </w:r>
      <w:r>
        <w:rPr>
          <w:rFonts w:hint="eastAsia" w:ascii="宋体" w:hAnsi="宋体" w:eastAsia="宋体" w:cs="宋体"/>
          <w:b/>
          <w:bCs/>
          <w:color w:val="000000"/>
          <w:sz w:val="44"/>
          <w:szCs w:val="44"/>
        </w:rPr>
        <w:t>应急管理</w:t>
      </w:r>
      <w:r>
        <w:rPr>
          <w:rFonts w:hint="eastAsia" w:ascii="宋体" w:hAnsi="宋体" w:eastAsia="宋体" w:cs="宋体"/>
          <w:b/>
          <w:bCs/>
          <w:color w:val="000000"/>
          <w:sz w:val="44"/>
          <w:szCs w:val="44"/>
          <w:lang w:eastAsia="zh-CN"/>
        </w:rPr>
        <w:t>局</w:t>
      </w:r>
    </w:p>
    <w:p>
      <w:pPr>
        <w:jc w:val="center"/>
        <w:rPr>
          <w:rFonts w:hint="eastAsia" w:ascii="宋体" w:hAnsi="宋体" w:eastAsia="宋体" w:cs="宋体"/>
          <w:b/>
          <w:bCs/>
          <w:color w:val="000000"/>
          <w:sz w:val="44"/>
          <w:szCs w:val="44"/>
          <w:lang w:eastAsia="zh-CN"/>
        </w:rPr>
      </w:pPr>
      <w:r>
        <w:rPr>
          <w:rFonts w:hint="eastAsia" w:ascii="宋体" w:hAnsi="宋体" w:eastAsia="宋体" w:cs="宋体"/>
          <w:b/>
          <w:bCs/>
          <w:color w:val="000000"/>
          <w:sz w:val="44"/>
          <w:szCs w:val="44"/>
          <w:lang w:eastAsia="zh-CN"/>
        </w:rPr>
        <w:t>行政执法全过程记录制度</w:t>
      </w:r>
    </w:p>
    <w:p>
      <w:pPr>
        <w:jc w:val="center"/>
        <w:rPr>
          <w:rFonts w:hint="eastAsia" w:ascii="宋体" w:hAnsi="宋体" w:eastAsia="宋体" w:cs="宋体"/>
          <w:b/>
          <w:bCs/>
          <w:color w:val="000000"/>
          <w:sz w:val="44"/>
          <w:szCs w:val="44"/>
          <w:lang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s="仿宋_GB2312"/>
          <w:color w:val="000000"/>
          <w:sz w:val="32"/>
          <w:szCs w:val="32"/>
        </w:rPr>
      </w:pPr>
      <w:bookmarkStart w:id="0" w:name="_GoBack"/>
      <w:r>
        <w:rPr>
          <w:rFonts w:hint="eastAsia" w:eastAsia="黑体" w:cs="黑体"/>
          <w:color w:val="000000"/>
          <w:sz w:val="32"/>
          <w:szCs w:val="32"/>
        </w:rPr>
        <w:t>第一条</w:t>
      </w:r>
      <w:r>
        <w:rPr>
          <w:rFonts w:eastAsia="仿宋_GB2312"/>
          <w:color w:val="000000"/>
          <w:sz w:val="32"/>
          <w:szCs w:val="32"/>
        </w:rPr>
        <w:t xml:space="preserve">  </w:t>
      </w:r>
      <w:r>
        <w:rPr>
          <w:rFonts w:hint="eastAsia" w:eastAsia="仿宋_GB2312"/>
          <w:color w:val="000000"/>
          <w:sz w:val="32"/>
          <w:szCs w:val="32"/>
        </w:rPr>
        <w:t>为了规范行政执法行为，提高行政执法透明度，促进严格规范公正文明执法，保护公民、法人和其他组织的合法权益，</w:t>
      </w:r>
      <w:r>
        <w:rPr>
          <w:rFonts w:hint="eastAsia" w:eastAsia="仿宋_GB2312" w:cs="仿宋_GB2312"/>
          <w:color w:val="000000"/>
          <w:sz w:val="32"/>
          <w:szCs w:val="32"/>
        </w:rPr>
        <w:t>根据《中华人民共和国行政处罚法》《中华人民共和国行政许可法》《中华人民共和国行政强制法》等有关规定，按照《山西省行政执法全过程记录办法》要求，结合工作实际，制定本制度。</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s="仿宋_GB2312"/>
          <w:color w:val="000000"/>
          <w:sz w:val="32"/>
          <w:szCs w:val="32"/>
          <w:shd w:val="clear" w:color="auto" w:fill="FFFFFF"/>
        </w:rPr>
      </w:pPr>
      <w:r>
        <w:rPr>
          <w:rFonts w:hint="eastAsia" w:eastAsia="黑体" w:cs="黑体"/>
          <w:color w:val="000000"/>
          <w:sz w:val="32"/>
          <w:szCs w:val="32"/>
        </w:rPr>
        <w:t>第二条</w:t>
      </w:r>
      <w:r>
        <w:rPr>
          <w:rFonts w:hint="eastAsia" w:eastAsia="黑体"/>
          <w:color w:val="000000"/>
          <w:sz w:val="32"/>
          <w:szCs w:val="32"/>
          <w:lang w:val="en-US" w:eastAsia="zh-CN"/>
        </w:rPr>
        <w:t xml:space="preserve"> </w:t>
      </w:r>
      <w:r>
        <w:rPr>
          <w:rFonts w:hint="eastAsia" w:eastAsia="仿宋_GB2312"/>
          <w:sz w:val="32"/>
          <w:szCs w:val="32"/>
        </w:rPr>
        <w:t>本制度适用于</w:t>
      </w:r>
      <w:r>
        <w:rPr>
          <w:rFonts w:hint="eastAsia" w:eastAsia="仿宋_GB2312"/>
          <w:sz w:val="32"/>
          <w:szCs w:val="32"/>
          <w:lang w:val="en-US" w:eastAsia="zh-CN"/>
        </w:rPr>
        <w:t>县</w:t>
      </w:r>
      <w:r>
        <w:rPr>
          <w:rFonts w:hint="eastAsia" w:eastAsia="仿宋_GB2312"/>
          <w:sz w:val="32"/>
          <w:szCs w:val="32"/>
        </w:rPr>
        <w:t>应急管理</w:t>
      </w:r>
      <w:r>
        <w:rPr>
          <w:rFonts w:hint="eastAsia" w:eastAsia="仿宋_GB2312"/>
          <w:sz w:val="32"/>
          <w:szCs w:val="32"/>
          <w:lang w:eastAsia="zh-CN"/>
        </w:rPr>
        <w:t>局</w:t>
      </w:r>
      <w:r>
        <w:rPr>
          <w:rFonts w:hint="eastAsia" w:eastAsia="仿宋_GB2312"/>
          <w:sz w:val="32"/>
          <w:szCs w:val="32"/>
        </w:rPr>
        <w:t>的</w:t>
      </w:r>
      <w:r>
        <w:rPr>
          <w:rFonts w:hint="eastAsia" w:eastAsia="仿宋_GB2312" w:cs="仿宋_GB2312"/>
          <w:color w:val="000000"/>
          <w:sz w:val="32"/>
          <w:szCs w:val="32"/>
          <w:shd w:val="clear" w:color="auto" w:fill="FFFFFF"/>
        </w:rPr>
        <w:t>行政执法全过程记录</w:t>
      </w:r>
      <w:r>
        <w:rPr>
          <w:rFonts w:hint="eastAsia" w:eastAsia="仿宋_GB2312"/>
          <w:sz w:val="32"/>
          <w:szCs w:val="32"/>
        </w:rPr>
        <w:t>工作</w:t>
      </w:r>
      <w:r>
        <w:rPr>
          <w:rFonts w:hint="eastAsia" w:eastAsia="仿宋_GB2312" w:cs="仿宋_GB2312"/>
          <w:color w:val="000000"/>
          <w:sz w:val="32"/>
          <w:szCs w:val="32"/>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黑体" w:cs="黑体"/>
          <w:color w:val="000000"/>
          <w:sz w:val="32"/>
          <w:szCs w:val="32"/>
        </w:rPr>
        <w:t>第三条</w:t>
      </w:r>
      <w:r>
        <w:rPr>
          <w:rFonts w:hint="eastAsia" w:eastAsia="黑体"/>
          <w:color w:val="000000"/>
          <w:sz w:val="32"/>
          <w:szCs w:val="32"/>
          <w:lang w:val="en-US" w:eastAsia="zh-CN"/>
        </w:rPr>
        <w:t xml:space="preserve"> </w:t>
      </w:r>
      <w:r>
        <w:rPr>
          <w:rFonts w:hint="eastAsia" w:eastAsia="仿宋_GB2312" w:cs="仿宋_GB2312"/>
          <w:color w:val="000000"/>
          <w:sz w:val="32"/>
          <w:szCs w:val="32"/>
        </w:rPr>
        <w:t>本制度所称</w:t>
      </w:r>
      <w:r>
        <w:rPr>
          <w:rFonts w:hint="eastAsia" w:eastAsia="仿宋_GB2312"/>
          <w:color w:val="000000"/>
          <w:sz w:val="32"/>
          <w:szCs w:val="32"/>
        </w:rPr>
        <w:t>行政执法全过程记录，是指通过文字记录、音像记录等形式，对行政执法的</w:t>
      </w:r>
      <w:r>
        <w:rPr>
          <w:rFonts w:hint="eastAsia" w:eastAsia="仿宋_GB2312" w:cs="仿宋_GB2312"/>
          <w:color w:val="000000"/>
          <w:sz w:val="32"/>
          <w:szCs w:val="32"/>
        </w:rPr>
        <w:t>程序</w:t>
      </w:r>
      <w:r>
        <w:rPr>
          <w:rFonts w:hint="eastAsia" w:eastAsia="仿宋_GB2312"/>
          <w:color w:val="000000"/>
          <w:sz w:val="32"/>
          <w:szCs w:val="32"/>
        </w:rPr>
        <w:t>启动、调查取证、审核决定、送达执行、归档保存管理等全部过程进行记录的活动。</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olor w:val="000000"/>
          <w:sz w:val="32"/>
          <w:szCs w:val="32"/>
        </w:rPr>
        <w:t>本办法所称文字记录，是指以纸质文件或电子文件形式，对行政执法活动进行全过程记录的形式。</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olor w:val="000000"/>
          <w:sz w:val="32"/>
          <w:szCs w:val="32"/>
        </w:rPr>
        <w:t>本办法所称音像记录，是指通过照相机、录音机、摄像机、执法记录仪、视频监控等记录设备，实时对行政执法过程进行记录的形式。</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s="仿宋_GB2312"/>
          <w:color w:val="000000"/>
          <w:sz w:val="32"/>
          <w:szCs w:val="32"/>
        </w:rPr>
      </w:pPr>
      <w:r>
        <w:rPr>
          <w:rFonts w:hint="eastAsia" w:eastAsia="黑体" w:cs="黑体"/>
          <w:color w:val="000000"/>
          <w:sz w:val="32"/>
          <w:szCs w:val="32"/>
        </w:rPr>
        <w:t>第四条</w:t>
      </w:r>
      <w:r>
        <w:rPr>
          <w:rFonts w:hint="eastAsia" w:eastAsia="黑体"/>
          <w:color w:val="000000"/>
          <w:sz w:val="32"/>
          <w:szCs w:val="32"/>
          <w:lang w:val="en-US" w:eastAsia="zh-CN"/>
        </w:rPr>
        <w:t xml:space="preserve"> </w:t>
      </w:r>
      <w:r>
        <w:rPr>
          <w:rFonts w:hint="eastAsia" w:eastAsia="仿宋_GB2312" w:cs="仿宋_GB2312"/>
          <w:color w:val="000000"/>
          <w:sz w:val="32"/>
          <w:szCs w:val="32"/>
        </w:rPr>
        <w:t>行政执法全过程记录应当遵循合法、公正、客观、全面的原则。</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s="仿宋_GB2312"/>
          <w:color w:val="000000"/>
          <w:sz w:val="32"/>
          <w:szCs w:val="32"/>
        </w:rPr>
      </w:pPr>
      <w:r>
        <w:rPr>
          <w:rFonts w:hint="eastAsia" w:eastAsia="黑体" w:cs="黑体"/>
          <w:color w:val="000000"/>
          <w:sz w:val="32"/>
          <w:szCs w:val="32"/>
        </w:rPr>
        <w:t>第五条</w:t>
      </w:r>
      <w:r>
        <w:rPr>
          <w:rFonts w:hint="eastAsia" w:eastAsia="仿宋_GB2312"/>
          <w:color w:val="000000"/>
          <w:sz w:val="32"/>
          <w:szCs w:val="32"/>
          <w:lang w:val="en-US" w:eastAsia="zh-CN"/>
        </w:rPr>
        <w:t xml:space="preserve"> </w:t>
      </w:r>
      <w:r>
        <w:rPr>
          <w:rFonts w:hint="eastAsia" w:eastAsia="仿宋_GB2312" w:cs="仿宋_GB2312"/>
          <w:color w:val="000000"/>
          <w:sz w:val="32"/>
          <w:szCs w:val="32"/>
        </w:rPr>
        <w:t>文字记录和音像记录可同时使用，也可分别使用。</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s="仿宋_GB2312"/>
          <w:color w:val="000000"/>
          <w:sz w:val="32"/>
          <w:szCs w:val="32"/>
        </w:rPr>
      </w:pPr>
      <w:r>
        <w:rPr>
          <w:rFonts w:hint="eastAsia" w:eastAsia="仿宋_GB2312" w:cs="仿宋_GB2312"/>
          <w:color w:val="000000"/>
          <w:sz w:val="32"/>
          <w:szCs w:val="32"/>
        </w:rPr>
        <w:t>行政执法全过程记录以文字记录为基本形式，对文字记录能够全面有效记录行政执法行为的，可以不进行音像记录。</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s="仿宋_GB2312"/>
          <w:color w:val="000000"/>
          <w:sz w:val="32"/>
          <w:szCs w:val="32"/>
        </w:rPr>
      </w:pPr>
      <w:r>
        <w:rPr>
          <w:rFonts w:hint="eastAsia" w:eastAsia="黑体" w:cs="黑体"/>
          <w:color w:val="000000"/>
          <w:sz w:val="32"/>
          <w:szCs w:val="32"/>
        </w:rPr>
        <w:t>第六条</w:t>
      </w:r>
      <w:r>
        <w:rPr>
          <w:rFonts w:hint="eastAsia" w:eastAsia="仿宋_GB2312"/>
          <w:color w:val="000000"/>
          <w:sz w:val="32"/>
          <w:szCs w:val="32"/>
          <w:lang w:val="en-US" w:eastAsia="zh-CN"/>
        </w:rPr>
        <w:t xml:space="preserve"> </w:t>
      </w:r>
      <w:r>
        <w:rPr>
          <w:rFonts w:hint="eastAsia" w:eastAsia="仿宋_GB2312"/>
          <w:color w:val="000000"/>
          <w:sz w:val="32"/>
          <w:szCs w:val="32"/>
          <w:lang w:eastAsia="zh-CN"/>
        </w:rPr>
        <w:t>办公室</w:t>
      </w:r>
      <w:r>
        <w:rPr>
          <w:rFonts w:hint="eastAsia" w:eastAsia="仿宋_GB2312"/>
          <w:color w:val="000000"/>
          <w:sz w:val="32"/>
          <w:szCs w:val="32"/>
        </w:rPr>
        <w:t>会同有关</w:t>
      </w:r>
      <w:r>
        <w:rPr>
          <w:rFonts w:hint="eastAsia" w:eastAsia="仿宋_GB2312"/>
          <w:color w:val="000000"/>
          <w:sz w:val="32"/>
          <w:szCs w:val="32"/>
          <w:lang w:eastAsia="zh-CN"/>
        </w:rPr>
        <w:t>股</w:t>
      </w:r>
      <w:r>
        <w:rPr>
          <w:rFonts w:hint="eastAsia" w:eastAsia="仿宋_GB2312"/>
          <w:color w:val="000000"/>
          <w:sz w:val="32"/>
          <w:szCs w:val="32"/>
        </w:rPr>
        <w:t>室（单位）编制音像记录事项清单，明确音像记录事项、内容、环节、方式等。</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sz w:val="32"/>
          <w:szCs w:val="32"/>
        </w:rPr>
      </w:pPr>
      <w:r>
        <w:rPr>
          <w:rFonts w:hint="eastAsia" w:eastAsia="黑体" w:cs="黑体"/>
          <w:sz w:val="32"/>
          <w:szCs w:val="32"/>
        </w:rPr>
        <w:t>第七条</w:t>
      </w:r>
      <w:r>
        <w:rPr>
          <w:rFonts w:hint="eastAsia" w:eastAsia="仿宋_GB2312"/>
          <w:sz w:val="32"/>
          <w:szCs w:val="32"/>
          <w:lang w:val="en-US" w:eastAsia="zh-CN"/>
        </w:rPr>
        <w:t xml:space="preserve"> </w:t>
      </w:r>
      <w:r>
        <w:rPr>
          <w:rFonts w:hint="eastAsia" w:eastAsia="仿宋_GB2312"/>
          <w:sz w:val="32"/>
          <w:szCs w:val="32"/>
        </w:rPr>
        <w:t>按照行政执法规范用语和执法文书格式文本，全面记录行政执法的程序启动、调查取证、审核决定、送达执行、归档保存管理等内容。逐步推进执法文书和执法案卷电子化。</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黑体" w:cs="黑体"/>
          <w:color w:val="000000"/>
          <w:sz w:val="32"/>
          <w:szCs w:val="32"/>
        </w:rPr>
        <w:t>第八条</w:t>
      </w:r>
      <w:r>
        <w:rPr>
          <w:rFonts w:hint="eastAsia" w:eastAsia="仿宋_GB2312"/>
          <w:color w:val="000000"/>
          <w:sz w:val="32"/>
          <w:szCs w:val="32"/>
          <w:lang w:val="en-US" w:eastAsia="zh-CN"/>
        </w:rPr>
        <w:t xml:space="preserve"> </w:t>
      </w:r>
      <w:r>
        <w:rPr>
          <w:rFonts w:hint="eastAsia" w:eastAsia="仿宋_GB2312" w:cs="仿宋_GB2312"/>
          <w:color w:val="000000"/>
          <w:sz w:val="32"/>
          <w:szCs w:val="32"/>
        </w:rPr>
        <w:t>对以下行政执法环节应当进行文字记录：</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color w:val="000000"/>
          <w:sz w:val="32"/>
          <w:szCs w:val="32"/>
        </w:rPr>
      </w:pPr>
      <w:r>
        <w:rPr>
          <w:rFonts w:hint="eastAsia" w:ascii="楷体_GB2312" w:hAnsi="楷体_GB2312" w:eastAsia="楷体_GB2312" w:cs="楷体_GB2312"/>
          <w:b/>
          <w:bCs/>
          <w:color w:val="000000"/>
          <w:sz w:val="32"/>
          <w:szCs w:val="32"/>
        </w:rPr>
        <w:t>（一）行政许可</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u w:val="single"/>
        </w:rPr>
      </w:pPr>
      <w:r>
        <w:rPr>
          <w:rFonts w:hint="eastAsia" w:ascii="仿宋_GB2312" w:hAnsi="仿宋_GB2312" w:eastAsia="仿宋_GB2312" w:cs="仿宋_GB2312"/>
          <w:color w:val="000000"/>
          <w:sz w:val="32"/>
          <w:szCs w:val="32"/>
        </w:rPr>
        <w:t>1.行政许可申请受理通知书、不予受理通知书、行政许可申请补正告知书、准予行政许可决定书、不予行政许可决定书；</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2.行政许可听证告知书、听证通知书及听证笔录；</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3.组织专家审查或现场核查的有关资料；</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4.向</w:t>
      </w:r>
      <w:r>
        <w:rPr>
          <w:rFonts w:hint="eastAsia" w:ascii="仿宋_GB2312" w:hAnsi="仿宋_GB2312" w:eastAsia="仿宋_GB2312" w:cs="仿宋_GB2312"/>
          <w:color w:val="000000"/>
          <w:sz w:val="32"/>
          <w:szCs w:val="32"/>
          <w:lang w:val="en-US" w:eastAsia="zh-CN"/>
        </w:rPr>
        <w:t>乡镇</w:t>
      </w:r>
      <w:r>
        <w:rPr>
          <w:rFonts w:hint="eastAsia" w:ascii="仿宋_GB2312" w:hAnsi="仿宋_GB2312" w:eastAsia="仿宋_GB2312" w:cs="仿宋_GB2312"/>
          <w:color w:val="000000"/>
          <w:sz w:val="32"/>
          <w:szCs w:val="32"/>
        </w:rPr>
        <w:t>应急管理</w:t>
      </w:r>
      <w:r>
        <w:rPr>
          <w:rFonts w:hint="eastAsia" w:ascii="仿宋_GB2312" w:hAnsi="仿宋_GB2312" w:eastAsia="仿宋_GB2312" w:cs="仿宋_GB2312"/>
          <w:color w:val="000000"/>
          <w:sz w:val="32"/>
          <w:szCs w:val="32"/>
          <w:lang w:eastAsia="zh-CN"/>
        </w:rPr>
        <w:t>站</w:t>
      </w:r>
      <w:r>
        <w:rPr>
          <w:rFonts w:hint="eastAsia" w:ascii="仿宋_GB2312" w:hAnsi="仿宋_GB2312" w:eastAsia="仿宋_GB2312" w:cs="仿宋_GB2312"/>
          <w:color w:val="000000"/>
          <w:sz w:val="32"/>
          <w:szCs w:val="32"/>
        </w:rPr>
        <w:t>下发的核查通知书及其核查反馈意见；</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5.由承办人、承办机构负责人、应急管理部门负责人逐级签字的审查意见；</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6.行政许可的批准文件或证书复印件；</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7.法律、法规和规章规定的其他应当采取文字记录的内容。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color w:val="000000"/>
          <w:sz w:val="32"/>
          <w:szCs w:val="32"/>
        </w:rPr>
      </w:pPr>
      <w:r>
        <w:rPr>
          <w:rFonts w:hint="eastAsia" w:ascii="楷体_GB2312" w:hAnsi="楷体_GB2312" w:eastAsia="楷体_GB2312" w:cs="楷体_GB2312"/>
          <w:b/>
          <w:bCs/>
          <w:color w:val="000000"/>
          <w:sz w:val="32"/>
          <w:szCs w:val="32"/>
        </w:rPr>
        <w:t>（二）行政处罚、行政强制、行政检查等执法活动</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1.安全生产年度监督检查计划；</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2.开展督导执法检查的通知、方案或者其他规范性文件；</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3.核查投诉、案件举报时，所依据的行政相对人对违法行为投诉、举报信件（函），以及领导批示、批复或机关督办文件等；</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4.行政执法过程中形成的行政执法（含调查取证）文书、鉴定意见、听证报告，以及内部程序审批表、集体讨论记录、送达回执等书面记录；</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5.法律、法规和规章规定的其他应当采取文字记录的内容。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黑体" w:cs="黑体"/>
          <w:color w:val="000000"/>
          <w:sz w:val="32"/>
          <w:szCs w:val="32"/>
        </w:rPr>
        <w:t>第九条</w:t>
      </w:r>
      <w:r>
        <w:rPr>
          <w:rFonts w:hint="eastAsia" w:eastAsia="黑体" w:cs="黑体"/>
          <w:color w:val="000000"/>
          <w:sz w:val="32"/>
          <w:szCs w:val="32"/>
          <w:lang w:val="en-US" w:eastAsia="zh-CN"/>
        </w:rPr>
        <w:t xml:space="preserve"> </w:t>
      </w:r>
      <w:r>
        <w:rPr>
          <w:rFonts w:hint="eastAsia" w:eastAsia="仿宋_GB2312" w:cs="仿宋_GB2312"/>
          <w:color w:val="000000"/>
          <w:sz w:val="32"/>
          <w:szCs w:val="32"/>
        </w:rPr>
        <w:t>文字记录应当符合以下规定：</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s="仿宋_GB2312"/>
          <w:color w:val="000000"/>
          <w:sz w:val="32"/>
          <w:szCs w:val="32"/>
        </w:rPr>
        <w:t>（一）行政执法文书的制作和使用应当严谨规范，文书送达合法有效；</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s="仿宋_GB2312"/>
          <w:color w:val="000000"/>
          <w:sz w:val="32"/>
          <w:szCs w:val="32"/>
        </w:rPr>
        <w:t>（二）调查笔录、核查报告等文字资料应当记录清晰；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s="仿宋_GB2312"/>
          <w:color w:val="000000"/>
          <w:sz w:val="32"/>
          <w:szCs w:val="32"/>
        </w:rPr>
        <w:t>（三）执法人员接收或留存的当事人提交的各种证据资料及复印件，应当完整、齐全、有效。</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黑体" w:cs="黑体"/>
          <w:color w:val="000000"/>
          <w:sz w:val="32"/>
          <w:szCs w:val="32"/>
        </w:rPr>
        <w:t>第十条</w:t>
      </w:r>
      <w:r>
        <w:rPr>
          <w:rFonts w:hint="eastAsia" w:eastAsia="仿宋_GB2312"/>
          <w:color w:val="000000"/>
          <w:sz w:val="32"/>
          <w:szCs w:val="32"/>
          <w:lang w:val="en-US" w:eastAsia="zh-CN"/>
        </w:rPr>
        <w:t xml:space="preserve"> </w:t>
      </w:r>
      <w:r>
        <w:rPr>
          <w:rFonts w:hint="eastAsia" w:eastAsia="仿宋_GB2312"/>
          <w:color w:val="000000"/>
          <w:sz w:val="32"/>
          <w:szCs w:val="32"/>
        </w:rPr>
        <w:t>有下列情形之一的，应当进行音像记录：</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s="仿宋_GB2312"/>
          <w:color w:val="000000"/>
          <w:sz w:val="32"/>
          <w:szCs w:val="32"/>
        </w:rPr>
        <w:t>（一）对</w:t>
      </w:r>
      <w:r>
        <w:rPr>
          <w:rFonts w:hint="eastAsia" w:eastAsia="仿宋_GB2312"/>
          <w:color w:val="000000"/>
          <w:sz w:val="32"/>
          <w:szCs w:val="32"/>
        </w:rPr>
        <w:t>场所、设施或者财物实施或解除查封；</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s="仿宋_GB2312"/>
          <w:color w:val="000000"/>
          <w:sz w:val="32"/>
          <w:szCs w:val="32"/>
        </w:rPr>
        <w:t>（二）对</w:t>
      </w:r>
      <w:r>
        <w:rPr>
          <w:rFonts w:hint="eastAsia" w:eastAsia="仿宋_GB2312"/>
          <w:color w:val="000000"/>
          <w:sz w:val="32"/>
          <w:szCs w:val="32"/>
        </w:rPr>
        <w:t>财物实施或解除扣押；</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s="仿宋_GB2312"/>
          <w:color w:val="000000"/>
          <w:sz w:val="32"/>
          <w:szCs w:val="32"/>
        </w:rPr>
        <w:t>（三）</w:t>
      </w:r>
      <w:r>
        <w:rPr>
          <w:rFonts w:hint="eastAsia" w:eastAsia="仿宋_GB2312"/>
          <w:color w:val="000000"/>
          <w:sz w:val="32"/>
          <w:szCs w:val="32"/>
        </w:rPr>
        <w:t>代履行的；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s="仿宋_GB2312"/>
          <w:color w:val="000000"/>
          <w:sz w:val="32"/>
          <w:szCs w:val="32"/>
        </w:rPr>
        <w:t>（四）</w:t>
      </w:r>
      <w:r>
        <w:rPr>
          <w:rFonts w:hint="eastAsia" w:eastAsia="仿宋_GB2312"/>
          <w:color w:val="000000"/>
          <w:sz w:val="32"/>
          <w:szCs w:val="32"/>
        </w:rPr>
        <w:t>其他直接涉及人身自由、生命健康、重大财产权益的现场执法活动和执法办案场所。</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sz w:val="32"/>
          <w:szCs w:val="32"/>
        </w:rPr>
      </w:pPr>
      <w:r>
        <w:rPr>
          <w:rFonts w:hint="eastAsia" w:eastAsia="黑体" w:cs="黑体"/>
          <w:sz w:val="32"/>
          <w:szCs w:val="32"/>
        </w:rPr>
        <w:t>第十一条</w:t>
      </w:r>
      <w:r>
        <w:rPr>
          <w:rFonts w:hint="eastAsia" w:eastAsia="仿宋_GB2312"/>
          <w:sz w:val="32"/>
          <w:szCs w:val="32"/>
          <w:lang w:val="en-US" w:eastAsia="zh-CN"/>
        </w:rPr>
        <w:t xml:space="preserve"> </w:t>
      </w:r>
      <w:r>
        <w:rPr>
          <w:rFonts w:hint="eastAsia" w:eastAsia="仿宋_GB2312"/>
          <w:sz w:val="32"/>
          <w:szCs w:val="32"/>
        </w:rPr>
        <w:t>有下列情形之一的，根据实际情况进行音像记录：</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sz w:val="32"/>
          <w:szCs w:val="32"/>
        </w:rPr>
      </w:pPr>
      <w:r>
        <w:rPr>
          <w:rFonts w:hint="eastAsia" w:eastAsia="仿宋_GB2312" w:cs="仿宋_GB2312"/>
          <w:color w:val="000000"/>
          <w:sz w:val="32"/>
          <w:szCs w:val="32"/>
        </w:rPr>
        <w:t>（一）</w:t>
      </w:r>
      <w:r>
        <w:rPr>
          <w:rFonts w:hint="eastAsia" w:eastAsia="仿宋_GB2312"/>
          <w:sz w:val="32"/>
          <w:szCs w:val="32"/>
        </w:rPr>
        <w:t>现场执法容易引发争议的；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sz w:val="32"/>
          <w:szCs w:val="32"/>
        </w:rPr>
      </w:pPr>
      <w:r>
        <w:rPr>
          <w:rFonts w:hint="eastAsia" w:eastAsia="仿宋_GB2312" w:cs="仿宋_GB2312"/>
          <w:color w:val="000000"/>
          <w:sz w:val="32"/>
          <w:szCs w:val="32"/>
        </w:rPr>
        <w:t>（二）</w:t>
      </w:r>
      <w:r>
        <w:rPr>
          <w:rFonts w:hint="eastAsia" w:eastAsia="仿宋_GB2312"/>
          <w:sz w:val="32"/>
          <w:szCs w:val="32"/>
        </w:rPr>
        <w:t>检查、调查、询问、先行登记保存等调查取证的；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sz w:val="32"/>
          <w:szCs w:val="32"/>
        </w:rPr>
      </w:pPr>
      <w:r>
        <w:rPr>
          <w:rFonts w:hint="eastAsia" w:eastAsia="仿宋_GB2312" w:cs="仿宋_GB2312"/>
          <w:color w:val="000000"/>
          <w:sz w:val="32"/>
          <w:szCs w:val="32"/>
        </w:rPr>
        <w:t>（三）</w:t>
      </w:r>
      <w:r>
        <w:rPr>
          <w:rFonts w:hint="eastAsia" w:eastAsia="仿宋_GB2312"/>
          <w:sz w:val="32"/>
          <w:szCs w:val="32"/>
        </w:rPr>
        <w:t>举行听证的；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sz w:val="32"/>
          <w:szCs w:val="32"/>
        </w:rPr>
      </w:pPr>
      <w:r>
        <w:rPr>
          <w:rFonts w:hint="eastAsia" w:eastAsia="仿宋_GB2312" w:cs="仿宋_GB2312"/>
          <w:color w:val="000000"/>
          <w:sz w:val="32"/>
          <w:szCs w:val="32"/>
        </w:rPr>
        <w:t>（四）</w:t>
      </w:r>
      <w:r>
        <w:rPr>
          <w:rFonts w:hint="eastAsia" w:eastAsia="仿宋_GB2312"/>
          <w:sz w:val="32"/>
          <w:szCs w:val="32"/>
        </w:rPr>
        <w:t>留置送达和公告送达执法文书的；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sz w:val="32"/>
          <w:szCs w:val="32"/>
        </w:rPr>
      </w:pPr>
      <w:r>
        <w:rPr>
          <w:rFonts w:hint="eastAsia" w:eastAsia="仿宋_GB2312" w:cs="仿宋_GB2312"/>
          <w:color w:val="000000"/>
          <w:sz w:val="32"/>
          <w:szCs w:val="32"/>
        </w:rPr>
        <w:t>（五）</w:t>
      </w:r>
      <w:r>
        <w:rPr>
          <w:rFonts w:hint="eastAsia" w:eastAsia="仿宋_GB2312"/>
          <w:sz w:val="32"/>
          <w:szCs w:val="32"/>
        </w:rPr>
        <w:t>其他容易引发争议的行政执法过程。</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sz w:val="32"/>
          <w:szCs w:val="32"/>
        </w:rPr>
      </w:pPr>
      <w:r>
        <w:rPr>
          <w:rFonts w:hint="eastAsia" w:eastAsia="黑体" w:cs="黑体"/>
          <w:sz w:val="32"/>
          <w:szCs w:val="32"/>
        </w:rPr>
        <w:t>第十二条</w:t>
      </w:r>
      <w:r>
        <w:rPr>
          <w:rFonts w:hint="eastAsia" w:eastAsia="仿宋_GB2312"/>
          <w:sz w:val="32"/>
          <w:szCs w:val="32"/>
          <w:lang w:val="en-US" w:eastAsia="zh-CN"/>
        </w:rPr>
        <w:t xml:space="preserve"> </w:t>
      </w:r>
      <w:r>
        <w:rPr>
          <w:rFonts w:hint="eastAsia" w:eastAsia="仿宋_GB2312"/>
          <w:sz w:val="32"/>
          <w:szCs w:val="32"/>
        </w:rPr>
        <w:t>音像记录应当重点记录下列内容：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sz w:val="32"/>
          <w:szCs w:val="32"/>
        </w:rPr>
      </w:pPr>
      <w:r>
        <w:rPr>
          <w:rFonts w:hint="eastAsia" w:eastAsia="仿宋_GB2312"/>
          <w:sz w:val="32"/>
          <w:szCs w:val="32"/>
        </w:rPr>
        <w:t>（一）行政执法活动开始和结束的时间；</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sz w:val="32"/>
          <w:szCs w:val="32"/>
        </w:rPr>
      </w:pPr>
      <w:r>
        <w:rPr>
          <w:rFonts w:hint="eastAsia" w:eastAsia="仿宋_GB2312"/>
          <w:sz w:val="32"/>
          <w:szCs w:val="32"/>
        </w:rPr>
        <w:t>（二）执法现场环境；</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sz w:val="32"/>
          <w:szCs w:val="32"/>
        </w:rPr>
      </w:pPr>
      <w:r>
        <w:rPr>
          <w:rFonts w:hint="eastAsia" w:eastAsia="仿宋_GB2312"/>
          <w:sz w:val="32"/>
          <w:szCs w:val="32"/>
        </w:rPr>
        <w:t>（三）行政执法人员，行政相对人、证人、第三人等现场有关人员；</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sz w:val="32"/>
          <w:szCs w:val="32"/>
        </w:rPr>
      </w:pPr>
      <w:r>
        <w:rPr>
          <w:rFonts w:hint="eastAsia" w:eastAsia="仿宋_GB2312"/>
          <w:sz w:val="32"/>
          <w:szCs w:val="32"/>
        </w:rPr>
        <w:t>（四）涉案场所、设施、设备和财物等可以证明行政执法行为的证据；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sz w:val="32"/>
          <w:szCs w:val="32"/>
        </w:rPr>
      </w:pPr>
      <w:r>
        <w:rPr>
          <w:rFonts w:hint="eastAsia" w:eastAsia="仿宋_GB2312"/>
          <w:sz w:val="32"/>
          <w:szCs w:val="32"/>
        </w:rPr>
        <w:t>（五）执法人员对有关人员、财物采取措施的情况；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sz w:val="32"/>
          <w:szCs w:val="32"/>
        </w:rPr>
      </w:pPr>
      <w:r>
        <w:rPr>
          <w:rFonts w:hint="eastAsia" w:eastAsia="仿宋_GB2312"/>
          <w:sz w:val="32"/>
          <w:szCs w:val="32"/>
        </w:rPr>
        <w:t>（六）执法人员现场制作、送达相关文书的情况；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FF0000"/>
          <w:sz w:val="32"/>
          <w:szCs w:val="32"/>
        </w:rPr>
      </w:pPr>
      <w:r>
        <w:rPr>
          <w:rFonts w:hint="eastAsia" w:eastAsia="仿宋_GB2312"/>
          <w:sz w:val="32"/>
          <w:szCs w:val="32"/>
        </w:rPr>
        <w:t>（七）其他应当记录的重要内容。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olor w:val="000000"/>
          <w:sz w:val="32"/>
          <w:szCs w:val="32"/>
        </w:rPr>
      </w:pPr>
      <w:r>
        <w:rPr>
          <w:rFonts w:hint="eastAsia" w:eastAsia="黑体" w:cs="黑体"/>
          <w:color w:val="000000"/>
          <w:sz w:val="32"/>
          <w:szCs w:val="32"/>
        </w:rPr>
        <w:t>第十三条</w:t>
      </w:r>
      <w:r>
        <w:rPr>
          <w:rFonts w:hint="eastAsia" w:eastAsia="仿宋_GB2312"/>
          <w:color w:val="000000"/>
          <w:sz w:val="32"/>
          <w:szCs w:val="32"/>
          <w:lang w:val="en-US" w:eastAsia="zh-CN"/>
        </w:rPr>
        <w:t xml:space="preserve"> </w:t>
      </w:r>
      <w:r>
        <w:rPr>
          <w:rFonts w:hint="eastAsia" w:eastAsia="仿宋_GB2312"/>
          <w:color w:val="000000"/>
          <w:sz w:val="32"/>
          <w:szCs w:val="32"/>
        </w:rPr>
        <w:t>音像记录开始前，行政执法人员应当检查设备性能、电量和储存空间等状况，确保设备能够满足工作需要。</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olor w:val="000000"/>
          <w:sz w:val="32"/>
          <w:szCs w:val="32"/>
        </w:rPr>
      </w:pPr>
      <w:r>
        <w:rPr>
          <w:rFonts w:hint="eastAsia" w:eastAsia="黑体" w:cs="黑体"/>
          <w:color w:val="000000"/>
          <w:sz w:val="32"/>
          <w:szCs w:val="32"/>
        </w:rPr>
        <w:t>第十四条</w:t>
      </w:r>
      <w:r>
        <w:rPr>
          <w:rFonts w:hint="eastAsia" w:eastAsia="仿宋_GB2312"/>
          <w:color w:val="000000"/>
          <w:sz w:val="32"/>
          <w:szCs w:val="32"/>
          <w:lang w:val="en-US" w:eastAsia="zh-CN"/>
        </w:rPr>
        <w:t xml:space="preserve"> </w:t>
      </w:r>
      <w:r>
        <w:rPr>
          <w:rFonts w:hint="eastAsia" w:eastAsia="仿宋_GB2312"/>
          <w:color w:val="000000"/>
          <w:sz w:val="32"/>
          <w:szCs w:val="32"/>
        </w:rPr>
        <w:t>音像记录开始后，行政执法人员应当先语音说明时间、地点、执法人员、执法事由、执法对象以及需要记录的执法环节等情况，告知当事人及现场其他人员正在进行音像记录，然后进行不间断记录。音像记录应当自到达执法现场开展执法活动时开始，至执法活动结束。</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olor w:val="000000"/>
          <w:sz w:val="32"/>
          <w:szCs w:val="32"/>
        </w:rPr>
      </w:pPr>
      <w:r>
        <w:rPr>
          <w:rFonts w:hint="eastAsia" w:eastAsia="黑体" w:cs="黑体"/>
          <w:color w:val="000000"/>
          <w:sz w:val="32"/>
          <w:szCs w:val="32"/>
        </w:rPr>
        <w:t>第十五条</w:t>
      </w:r>
      <w:r>
        <w:rPr>
          <w:rFonts w:hint="eastAsia" w:eastAsia="黑体"/>
          <w:color w:val="000000"/>
          <w:sz w:val="32"/>
          <w:szCs w:val="32"/>
          <w:lang w:val="en-US" w:eastAsia="zh-CN"/>
        </w:rPr>
        <w:t xml:space="preserve"> </w:t>
      </w:r>
      <w:r>
        <w:rPr>
          <w:rFonts w:hint="eastAsia" w:eastAsia="仿宋_GB2312"/>
          <w:color w:val="000000"/>
          <w:sz w:val="32"/>
          <w:szCs w:val="32"/>
        </w:rPr>
        <w:t>音像记录过程中，因设备突发故障、天气恶劣、现场人员阻挠等客观原因中止记录的，不停止执法行为，重新开始记录时应当对中止原因进行语音说明；确实无法继续记录的，事后书面说明情况。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s="仿宋_GB2312"/>
          <w:sz w:val="32"/>
          <w:szCs w:val="32"/>
        </w:rPr>
      </w:pPr>
      <w:r>
        <w:rPr>
          <w:rFonts w:hint="eastAsia" w:eastAsia="黑体" w:cs="黑体"/>
          <w:color w:val="000000"/>
          <w:sz w:val="32"/>
          <w:szCs w:val="32"/>
        </w:rPr>
        <w:t>第十六条</w:t>
      </w:r>
      <w:r>
        <w:rPr>
          <w:rFonts w:hint="eastAsia" w:eastAsia="仿宋_GB2312"/>
          <w:color w:val="000000"/>
          <w:sz w:val="32"/>
          <w:szCs w:val="32"/>
          <w:lang w:val="en-US" w:eastAsia="zh-CN"/>
        </w:rPr>
        <w:t xml:space="preserve"> </w:t>
      </w:r>
      <w:r>
        <w:rPr>
          <w:rFonts w:hint="eastAsia" w:eastAsia="仿宋_GB2312" w:cs="仿宋_GB2312"/>
          <w:color w:val="000000"/>
          <w:sz w:val="32"/>
          <w:szCs w:val="32"/>
        </w:rPr>
        <w:t>音像记录制作完成后，行政执法人员应当在</w:t>
      </w:r>
      <w:r>
        <w:rPr>
          <w:rFonts w:hint="eastAsia" w:ascii="仿宋_GB2312" w:hAnsi="仿宋_GB2312" w:eastAsia="仿宋_GB2312" w:cs="仿宋_GB2312"/>
          <w:color w:val="000000"/>
          <w:sz w:val="32"/>
          <w:szCs w:val="32"/>
        </w:rPr>
        <w:t>2</w:t>
      </w:r>
      <w:r>
        <w:rPr>
          <w:rFonts w:hint="eastAsia" w:eastAsia="仿宋_GB2312" w:cs="仿宋_GB2312"/>
          <w:color w:val="000000"/>
          <w:sz w:val="32"/>
          <w:szCs w:val="32"/>
        </w:rPr>
        <w:t>个工作日内将信息存储至执法信息系统或指定的储存器。连续工作、异地工作或者在边远、交通不便地区执法，确实不能及时移交记录信息的，行政执法人员应当在返回单位后</w:t>
      </w:r>
      <w:r>
        <w:rPr>
          <w:rFonts w:hint="eastAsia" w:ascii="仿宋_GB2312" w:hAnsi="仿宋_GB2312" w:eastAsia="仿宋_GB2312" w:cs="仿宋_GB2312"/>
          <w:color w:val="000000"/>
          <w:sz w:val="32"/>
          <w:szCs w:val="32"/>
          <w:lang w:val="en-US" w:eastAsia="zh-CN"/>
        </w:rPr>
        <w:t>2</w:t>
      </w:r>
      <w:r>
        <w:rPr>
          <w:rFonts w:hint="eastAsia" w:eastAsia="仿宋_GB2312" w:cs="仿宋_GB2312"/>
          <w:color w:val="000000"/>
          <w:sz w:val="32"/>
          <w:szCs w:val="32"/>
        </w:rPr>
        <w:t>个工作日内予以存储。</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黑体" w:cs="黑体"/>
          <w:color w:val="000000"/>
          <w:sz w:val="32"/>
          <w:szCs w:val="32"/>
        </w:rPr>
        <w:t>第十七条</w:t>
      </w:r>
      <w:r>
        <w:rPr>
          <w:rFonts w:hint="eastAsia" w:eastAsia="黑体"/>
          <w:color w:val="000000"/>
          <w:sz w:val="32"/>
          <w:szCs w:val="32"/>
          <w:lang w:val="en-US" w:eastAsia="zh-CN"/>
        </w:rPr>
        <w:t xml:space="preserve"> </w:t>
      </w:r>
      <w:r>
        <w:rPr>
          <w:rFonts w:hint="eastAsia" w:eastAsia="仿宋_GB2312" w:cs="仿宋_GB2312"/>
          <w:color w:val="000000"/>
          <w:sz w:val="32"/>
          <w:szCs w:val="32"/>
        </w:rPr>
        <w:t>行政执法人员应当自执法检查结束或者结案之日起</w:t>
      </w:r>
      <w:r>
        <w:rPr>
          <w:rFonts w:ascii="仿宋_GB2312" w:eastAsia="仿宋_GB2312" w:cs="仿宋_GB2312"/>
          <w:color w:val="000000"/>
          <w:sz w:val="32"/>
          <w:szCs w:val="32"/>
        </w:rPr>
        <w:t>30</w:t>
      </w:r>
      <w:r>
        <w:rPr>
          <w:rFonts w:hint="eastAsia" w:eastAsia="仿宋_GB2312" w:cs="仿宋_GB2312"/>
          <w:color w:val="000000"/>
          <w:sz w:val="32"/>
          <w:szCs w:val="32"/>
        </w:rPr>
        <w:t>个工作日内，将执法过程中形成的文字和音像记录资料，形成相应案卷，及时归档。</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snapToGrid w:val="0"/>
          <w:color w:val="000000"/>
          <w:kern w:val="0"/>
          <w:sz w:val="32"/>
          <w:szCs w:val="32"/>
        </w:rPr>
      </w:pPr>
      <w:r>
        <w:rPr>
          <w:rFonts w:hint="eastAsia" w:eastAsia="黑体" w:cs="黑体"/>
          <w:color w:val="000000"/>
          <w:sz w:val="32"/>
          <w:szCs w:val="32"/>
        </w:rPr>
        <w:t>第十八条</w:t>
      </w:r>
      <w:r>
        <w:rPr>
          <w:rFonts w:hint="eastAsia" w:eastAsia="黑体"/>
          <w:color w:val="000000"/>
          <w:sz w:val="32"/>
          <w:szCs w:val="32"/>
          <w:lang w:val="en-US" w:eastAsia="zh-CN"/>
        </w:rPr>
        <w:t xml:space="preserve"> </w:t>
      </w:r>
      <w:r>
        <w:rPr>
          <w:rFonts w:hint="eastAsia" w:eastAsia="仿宋_GB2312" w:cs="仿宋_GB2312"/>
          <w:snapToGrid w:val="0"/>
          <w:color w:val="000000"/>
          <w:kern w:val="0"/>
          <w:sz w:val="32"/>
          <w:szCs w:val="32"/>
        </w:rPr>
        <w:t>音像资料需要作为证据使用时，应当按照有关视听资料证据的规定，转化至相关存储媒介中并制作说明附卷，随卷宗归档保存。</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黑体" w:cs="黑体"/>
          <w:color w:val="000000"/>
          <w:sz w:val="32"/>
          <w:szCs w:val="32"/>
        </w:rPr>
        <w:t>第十九条</w:t>
      </w:r>
      <w:r>
        <w:rPr>
          <w:rFonts w:hint="eastAsia" w:eastAsia="黑体"/>
          <w:color w:val="000000"/>
          <w:sz w:val="32"/>
          <w:szCs w:val="32"/>
          <w:lang w:val="en-US" w:eastAsia="zh-CN"/>
        </w:rPr>
        <w:t xml:space="preserve"> </w:t>
      </w:r>
      <w:r>
        <w:rPr>
          <w:rFonts w:hint="eastAsia" w:eastAsia="仿宋_GB2312" w:cs="仿宋_GB2312"/>
          <w:color w:val="000000"/>
          <w:sz w:val="32"/>
          <w:szCs w:val="32"/>
        </w:rPr>
        <w:t>有下列情形之一的，应当采取刻录光盘或者专门硬盘存储等方式，对音像资料长期保存：</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s="仿宋_GB2312"/>
          <w:color w:val="000000"/>
          <w:sz w:val="32"/>
          <w:szCs w:val="32"/>
        </w:rPr>
        <w:t>（一）对当事人采取强制执行措施的；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s="仿宋_GB2312"/>
          <w:color w:val="000000"/>
          <w:sz w:val="32"/>
          <w:szCs w:val="32"/>
        </w:rPr>
        <w:t>（二）</w:t>
      </w:r>
      <w:r>
        <w:rPr>
          <w:rFonts w:hint="eastAsia" w:eastAsia="仿宋_GB2312" w:cs="仿宋_GB2312"/>
          <w:color w:val="000000"/>
          <w:spacing w:val="-4"/>
          <w:sz w:val="32"/>
          <w:szCs w:val="32"/>
        </w:rPr>
        <w:t>当事人对执法人员现场执法有异议的；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s="仿宋_GB2312"/>
          <w:color w:val="000000"/>
          <w:sz w:val="32"/>
          <w:szCs w:val="32"/>
        </w:rPr>
        <w:t>（三）当事人拒绝、阻碍执法人员执法，或者谩骂、侮辱、殴打执法人员的；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s="仿宋_GB2312"/>
          <w:color w:val="000000"/>
          <w:sz w:val="32"/>
          <w:szCs w:val="32"/>
        </w:rPr>
        <w:t>（四）其他需要长期保存的情况。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黑体" w:cs="黑体"/>
          <w:color w:val="000000"/>
          <w:sz w:val="32"/>
          <w:szCs w:val="32"/>
        </w:rPr>
        <w:t>第二十条</w:t>
      </w:r>
      <w:r>
        <w:rPr>
          <w:rFonts w:hint="eastAsia" w:eastAsia="黑体"/>
          <w:color w:val="000000"/>
          <w:sz w:val="32"/>
          <w:szCs w:val="32"/>
          <w:lang w:val="en-US" w:eastAsia="zh-CN"/>
        </w:rPr>
        <w:t xml:space="preserve"> </w:t>
      </w:r>
      <w:r>
        <w:rPr>
          <w:rFonts w:hint="eastAsia" w:eastAsia="仿宋_GB2312" w:cs="仿宋_GB2312"/>
          <w:color w:val="000000"/>
          <w:sz w:val="32"/>
          <w:szCs w:val="32"/>
        </w:rPr>
        <w:t>除</w:t>
      </w:r>
      <w:r>
        <w:rPr>
          <w:rFonts w:hint="eastAsia" w:eastAsia="仿宋_GB2312" w:cs="仿宋_GB2312"/>
          <w:snapToGrid w:val="0"/>
          <w:color w:val="000000"/>
          <w:kern w:val="0"/>
          <w:sz w:val="32"/>
          <w:szCs w:val="32"/>
        </w:rPr>
        <w:t>随卷宗归档保存或者必须</w:t>
      </w:r>
      <w:r>
        <w:rPr>
          <w:rFonts w:hint="eastAsia" w:eastAsia="仿宋_GB2312" w:cs="仿宋_GB2312"/>
          <w:color w:val="000000"/>
          <w:sz w:val="32"/>
          <w:szCs w:val="32"/>
        </w:rPr>
        <w:t>长期保存外，其他音像资料的保存时间不少于五年。</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s="仿宋_GB2312"/>
          <w:color w:val="000000"/>
          <w:sz w:val="32"/>
          <w:szCs w:val="32"/>
        </w:rPr>
      </w:pPr>
      <w:r>
        <w:rPr>
          <w:rFonts w:hint="eastAsia" w:eastAsia="黑体" w:cs="黑体"/>
          <w:color w:val="000000"/>
          <w:sz w:val="32"/>
          <w:szCs w:val="32"/>
        </w:rPr>
        <w:t>第二十一条</w:t>
      </w:r>
      <w:r>
        <w:rPr>
          <w:rFonts w:hint="eastAsia" w:eastAsia="仿宋_GB2312"/>
          <w:color w:val="000000"/>
          <w:sz w:val="32"/>
          <w:szCs w:val="32"/>
          <w:lang w:val="en-US" w:eastAsia="zh-CN"/>
        </w:rPr>
        <w:t xml:space="preserve"> </w:t>
      </w:r>
      <w:r>
        <w:rPr>
          <w:rFonts w:hint="eastAsia" w:ascii="仿宋_GB2312" w:eastAsia="仿宋_GB2312" w:cs="仿宋_GB2312"/>
          <w:color w:val="000000"/>
          <w:sz w:val="32"/>
          <w:szCs w:val="32"/>
        </w:rPr>
        <w:t>有关单位应当</w:t>
      </w:r>
      <w:r>
        <w:rPr>
          <w:rFonts w:hint="eastAsia" w:eastAsia="仿宋_GB2312" w:cs="仿宋_GB2312"/>
          <w:color w:val="000000"/>
          <w:sz w:val="32"/>
          <w:szCs w:val="32"/>
        </w:rPr>
        <w:t>按照《中华人民共和国档案法》及有关规定，规范全过程记录文字和音像资料等行政执法档案的归档、保存、管理和使用。</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s="仿宋_GB2312"/>
          <w:color w:val="000000"/>
          <w:sz w:val="32"/>
          <w:szCs w:val="32"/>
        </w:rPr>
      </w:pPr>
      <w:r>
        <w:rPr>
          <w:rFonts w:hint="eastAsia" w:eastAsia="仿宋_GB2312" w:cs="仿宋_GB2312"/>
          <w:color w:val="000000"/>
          <w:sz w:val="32"/>
          <w:szCs w:val="32"/>
        </w:rPr>
        <w:t>涉及国家秘密、商业秘密和个人隐私的执法记录信息，应严格按照保密工作的有关规定和权限进行管理。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s="仿宋_GB2312"/>
          <w:color w:val="000000"/>
          <w:sz w:val="32"/>
          <w:szCs w:val="32"/>
        </w:rPr>
      </w:pPr>
      <w:r>
        <w:rPr>
          <w:rFonts w:hint="eastAsia" w:eastAsia="黑体" w:cs="黑体"/>
          <w:color w:val="000000"/>
          <w:sz w:val="32"/>
          <w:szCs w:val="32"/>
        </w:rPr>
        <w:t>第二十二条</w:t>
      </w:r>
      <w:r>
        <w:rPr>
          <w:rFonts w:hint="eastAsia" w:eastAsia="仿宋_GB2312"/>
          <w:color w:val="000000"/>
          <w:sz w:val="32"/>
          <w:szCs w:val="32"/>
          <w:lang w:val="en-US" w:eastAsia="zh-CN"/>
        </w:rPr>
        <w:t xml:space="preserve"> </w:t>
      </w:r>
      <w:r>
        <w:rPr>
          <w:rFonts w:hint="eastAsia" w:eastAsia="仿宋_GB2312" w:cs="仿宋_GB2312"/>
          <w:color w:val="000000"/>
          <w:sz w:val="32"/>
          <w:szCs w:val="32"/>
        </w:rPr>
        <w:t>行政执法全过程记录档案，未经行政执法机关负责人批准不得公开。</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s="仿宋_GB2312"/>
          <w:color w:val="000000"/>
          <w:sz w:val="32"/>
          <w:szCs w:val="32"/>
        </w:rPr>
      </w:pPr>
      <w:r>
        <w:rPr>
          <w:rFonts w:hint="eastAsia" w:eastAsia="仿宋_GB2312" w:cs="仿宋_GB2312"/>
          <w:color w:val="000000"/>
          <w:sz w:val="32"/>
          <w:szCs w:val="32"/>
        </w:rPr>
        <w:t>行政执法相对人要求查阅与其相关的执法过程记录的，行政执法机关应当按照规定办理。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s="仿宋_GB2312"/>
          <w:color w:val="000000"/>
          <w:sz w:val="32"/>
          <w:szCs w:val="32"/>
        </w:rPr>
      </w:pPr>
      <w:r>
        <w:rPr>
          <w:rFonts w:hint="eastAsia" w:eastAsia="仿宋_GB2312" w:cs="仿宋_GB2312"/>
          <w:color w:val="000000"/>
          <w:sz w:val="32"/>
          <w:szCs w:val="32"/>
        </w:rPr>
        <w:t>涉及国家秘密、商业秘密、个人隐私的执法记录，按照法律、法规、规章的规定执行。</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s="仿宋_GB2312"/>
          <w:color w:val="000000"/>
          <w:sz w:val="32"/>
          <w:szCs w:val="32"/>
        </w:rPr>
      </w:pPr>
      <w:r>
        <w:rPr>
          <w:rFonts w:hint="eastAsia" w:eastAsia="黑体" w:cs="黑体"/>
          <w:color w:val="000000"/>
          <w:sz w:val="32"/>
          <w:szCs w:val="32"/>
        </w:rPr>
        <w:t>第二十三条</w:t>
      </w:r>
      <w:r>
        <w:rPr>
          <w:rFonts w:hint="eastAsia" w:eastAsia="仿宋_GB2312"/>
          <w:color w:val="000000"/>
          <w:sz w:val="32"/>
          <w:szCs w:val="32"/>
          <w:lang w:val="en-US" w:eastAsia="zh-CN"/>
        </w:rPr>
        <w:t xml:space="preserve"> </w:t>
      </w:r>
      <w:r>
        <w:rPr>
          <w:rFonts w:hint="eastAsia" w:eastAsia="仿宋_GB2312" w:cs="仿宋_GB2312"/>
          <w:color w:val="000000"/>
          <w:sz w:val="32"/>
          <w:szCs w:val="32"/>
        </w:rPr>
        <w:t>对执法全过程记录信息进行实时调阅，及时发现薄弱环节，加强和改进执法工作。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s="仿宋_GB2312"/>
          <w:color w:val="000000"/>
          <w:sz w:val="32"/>
          <w:szCs w:val="32"/>
        </w:rPr>
      </w:pPr>
      <w:r>
        <w:rPr>
          <w:rFonts w:hint="eastAsia" w:eastAsia="黑体" w:cs="黑体"/>
          <w:color w:val="000000"/>
          <w:sz w:val="32"/>
          <w:szCs w:val="32"/>
        </w:rPr>
        <w:t>第二十四条</w:t>
      </w:r>
      <w:r>
        <w:rPr>
          <w:rFonts w:hint="eastAsia" w:eastAsia="仿宋_GB2312"/>
          <w:color w:val="000000"/>
          <w:sz w:val="32"/>
          <w:szCs w:val="32"/>
          <w:lang w:val="en-US" w:eastAsia="zh-CN"/>
        </w:rPr>
        <w:t xml:space="preserve"> </w:t>
      </w:r>
      <w:r>
        <w:rPr>
          <w:rFonts w:hint="eastAsia" w:eastAsia="仿宋_GB2312" w:cs="仿宋_GB2312"/>
          <w:color w:val="000000"/>
          <w:sz w:val="32"/>
          <w:szCs w:val="32"/>
        </w:rPr>
        <w:t>不得伪造、篡改、编辑、剪辑、删改执法过程的原始记录，不得在保存期内销毁执法过程的文字记录和专用存储设备中的音像记录。</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s="仿宋_GB2312"/>
          <w:color w:val="000000"/>
          <w:sz w:val="32"/>
          <w:szCs w:val="32"/>
        </w:rPr>
      </w:pPr>
      <w:r>
        <w:rPr>
          <w:rFonts w:hint="eastAsia" w:eastAsia="仿宋_GB2312" w:cs="仿宋_GB2312"/>
          <w:color w:val="000000"/>
          <w:sz w:val="32"/>
          <w:szCs w:val="32"/>
        </w:rPr>
        <w:t>未经法定程序不得擅自对外提供或者通过互联网等渠道发布现场执法的文字和音像记录。</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s="仿宋_GB2312"/>
          <w:color w:val="000000"/>
          <w:sz w:val="32"/>
          <w:szCs w:val="32"/>
        </w:rPr>
      </w:pPr>
      <w:r>
        <w:rPr>
          <w:rFonts w:hint="eastAsia" w:eastAsia="黑体" w:cs="黑体"/>
          <w:color w:val="000000"/>
          <w:sz w:val="32"/>
          <w:szCs w:val="32"/>
        </w:rPr>
        <w:t>第二十五条</w:t>
      </w:r>
      <w:r>
        <w:rPr>
          <w:rFonts w:hint="eastAsia" w:eastAsia="黑体"/>
          <w:color w:val="000000"/>
          <w:sz w:val="32"/>
          <w:szCs w:val="32"/>
          <w:lang w:val="en-US" w:eastAsia="zh-CN"/>
        </w:rPr>
        <w:t xml:space="preserve"> </w:t>
      </w:r>
      <w:r>
        <w:rPr>
          <w:rFonts w:hint="eastAsia" w:eastAsia="仿宋_GB2312" w:cs="仿宋_GB2312"/>
          <w:color w:val="000000"/>
          <w:sz w:val="32"/>
          <w:szCs w:val="32"/>
        </w:rPr>
        <w:t>加强行政执法信息化建设，配备行政执法信息专用服务器，统一管理和保存音像记录原始资料。</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s="仿宋_GB2312"/>
          <w:sz w:val="32"/>
          <w:szCs w:val="32"/>
        </w:rPr>
      </w:pPr>
      <w:r>
        <w:rPr>
          <w:rFonts w:hint="eastAsia" w:eastAsia="黑体" w:cs="黑体"/>
          <w:color w:val="000000"/>
          <w:sz w:val="32"/>
          <w:szCs w:val="32"/>
        </w:rPr>
        <w:t>第二十六条</w:t>
      </w:r>
      <w:r>
        <w:rPr>
          <w:rFonts w:hint="eastAsia" w:eastAsia="黑体"/>
          <w:color w:val="000000"/>
          <w:sz w:val="32"/>
          <w:szCs w:val="32"/>
          <w:lang w:val="en-US" w:eastAsia="zh-CN"/>
        </w:rPr>
        <w:t xml:space="preserve"> </w:t>
      </w:r>
      <w:r>
        <w:rPr>
          <w:rFonts w:hint="eastAsia" w:eastAsia="仿宋_GB2312" w:cs="仿宋_GB2312"/>
          <w:sz w:val="32"/>
          <w:szCs w:val="32"/>
        </w:rPr>
        <w:t>根据行政执法需要，为</w:t>
      </w:r>
      <w:r>
        <w:rPr>
          <w:rFonts w:hint="eastAsia" w:ascii="仿宋_GB2312" w:eastAsia="仿宋_GB2312" w:cs="仿宋_GB2312"/>
          <w:sz w:val="32"/>
          <w:szCs w:val="32"/>
        </w:rPr>
        <w:t>具有行政执法职能的机构（单位）</w:t>
      </w:r>
      <w:r>
        <w:rPr>
          <w:rFonts w:hint="eastAsia" w:eastAsia="仿宋_GB2312" w:cs="仿宋_GB2312"/>
          <w:sz w:val="32"/>
          <w:szCs w:val="32"/>
        </w:rPr>
        <w:t>配备满足需要的音像采集、存储、记录等设施设备。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s="仿宋_GB2312"/>
          <w:color w:val="000000"/>
          <w:sz w:val="32"/>
          <w:szCs w:val="32"/>
        </w:rPr>
      </w:pPr>
      <w:r>
        <w:rPr>
          <w:rFonts w:hint="eastAsia" w:eastAsia="仿宋_GB2312" w:cs="仿宋_GB2312"/>
          <w:color w:val="000000"/>
          <w:sz w:val="32"/>
          <w:szCs w:val="32"/>
        </w:rPr>
        <w:t>购置、维护、管理执法记录设备所需经费列入</w:t>
      </w:r>
      <w:r>
        <w:rPr>
          <w:rFonts w:hint="eastAsia" w:eastAsia="仿宋_GB2312" w:cs="仿宋_GB2312"/>
          <w:color w:val="000000"/>
          <w:sz w:val="32"/>
          <w:szCs w:val="32"/>
          <w:lang w:eastAsia="zh-CN"/>
        </w:rPr>
        <w:t>县</w:t>
      </w:r>
      <w:r>
        <w:rPr>
          <w:rFonts w:hint="eastAsia" w:eastAsia="仿宋_GB2312" w:cs="仿宋_GB2312"/>
          <w:color w:val="000000"/>
          <w:sz w:val="32"/>
          <w:szCs w:val="32"/>
        </w:rPr>
        <w:t>应急管理</w:t>
      </w:r>
      <w:r>
        <w:rPr>
          <w:rFonts w:hint="eastAsia" w:eastAsia="仿宋_GB2312" w:cs="仿宋_GB2312"/>
          <w:color w:val="000000"/>
          <w:sz w:val="32"/>
          <w:szCs w:val="32"/>
          <w:lang w:eastAsia="zh-CN"/>
        </w:rPr>
        <w:t>局</w:t>
      </w:r>
      <w:r>
        <w:rPr>
          <w:rFonts w:hint="eastAsia" w:eastAsia="仿宋_GB2312" w:cs="仿宋_GB2312"/>
          <w:color w:val="000000"/>
          <w:sz w:val="32"/>
          <w:szCs w:val="32"/>
        </w:rPr>
        <w:t>预算予以保障。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宋体" w:hAnsi="宋体" w:cs="宋体"/>
          <w:color w:val="000000"/>
          <w:sz w:val="32"/>
          <w:szCs w:val="32"/>
        </w:rPr>
      </w:pPr>
      <w:r>
        <w:rPr>
          <w:rFonts w:hint="eastAsia" w:eastAsia="黑体" w:cs="黑体"/>
          <w:color w:val="000000"/>
          <w:sz w:val="32"/>
          <w:szCs w:val="32"/>
        </w:rPr>
        <w:t>第二十七条</w:t>
      </w:r>
      <w:r>
        <w:rPr>
          <w:rFonts w:hint="eastAsia" w:eastAsia="黑体"/>
          <w:color w:val="000000"/>
          <w:sz w:val="32"/>
          <w:szCs w:val="32"/>
          <w:lang w:val="en-US" w:eastAsia="zh-CN"/>
        </w:rPr>
        <w:t xml:space="preserve"> </w:t>
      </w:r>
      <w:r>
        <w:rPr>
          <w:rFonts w:hint="eastAsia" w:eastAsia="仿宋_GB2312" w:cs="仿宋_GB2312"/>
          <w:color w:val="000000"/>
          <w:sz w:val="32"/>
          <w:szCs w:val="32"/>
          <w:lang w:eastAsia="zh-CN"/>
        </w:rPr>
        <w:t>办公室</w:t>
      </w:r>
      <w:r>
        <w:rPr>
          <w:rFonts w:hint="eastAsia" w:eastAsia="仿宋_GB2312" w:cs="仿宋_GB2312"/>
          <w:color w:val="000000"/>
          <w:sz w:val="32"/>
          <w:szCs w:val="32"/>
        </w:rPr>
        <w:t>会同有关</w:t>
      </w:r>
      <w:r>
        <w:rPr>
          <w:rFonts w:hint="eastAsia" w:eastAsia="仿宋_GB2312" w:cs="仿宋_GB2312"/>
          <w:color w:val="000000"/>
          <w:sz w:val="32"/>
          <w:szCs w:val="32"/>
          <w:lang w:eastAsia="zh-CN"/>
        </w:rPr>
        <w:t>股</w:t>
      </w:r>
      <w:r>
        <w:rPr>
          <w:rFonts w:hint="eastAsia" w:eastAsia="仿宋_GB2312" w:cs="仿宋_GB2312"/>
          <w:color w:val="000000"/>
          <w:sz w:val="32"/>
          <w:szCs w:val="32"/>
        </w:rPr>
        <w:t>室（单位）加强音像记录设备管理监督，定期维护保养，及时发现和处理设备存在的问题。</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黑体" w:cs="黑体"/>
          <w:color w:val="000000"/>
          <w:sz w:val="32"/>
          <w:szCs w:val="32"/>
        </w:rPr>
        <w:t>第二十八条</w:t>
      </w:r>
      <w:r>
        <w:rPr>
          <w:rFonts w:hint="eastAsia" w:eastAsia="黑体"/>
          <w:color w:val="000000"/>
          <w:sz w:val="32"/>
          <w:szCs w:val="32"/>
          <w:lang w:val="en-US" w:eastAsia="zh-CN"/>
        </w:rPr>
        <w:t xml:space="preserve"> </w:t>
      </w:r>
      <w:r>
        <w:rPr>
          <w:rFonts w:hint="eastAsia" w:eastAsia="仿宋_GB2312"/>
          <w:color w:val="000000"/>
          <w:sz w:val="32"/>
          <w:szCs w:val="32"/>
        </w:rPr>
        <w:t>有下列情形之一的，对负有直接责任的领导人员和其他直接责任人员依纪依法处理：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s="仿宋_GB2312"/>
          <w:color w:val="000000"/>
          <w:sz w:val="32"/>
          <w:szCs w:val="32"/>
        </w:rPr>
        <w:t>（一）</w:t>
      </w:r>
      <w:r>
        <w:rPr>
          <w:rFonts w:hint="eastAsia" w:eastAsia="仿宋_GB2312"/>
          <w:color w:val="000000"/>
          <w:sz w:val="32"/>
          <w:szCs w:val="32"/>
        </w:rPr>
        <w:t>未进行行政执法全过程记录的；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s="仿宋_GB2312"/>
          <w:color w:val="000000"/>
          <w:sz w:val="32"/>
          <w:szCs w:val="32"/>
        </w:rPr>
        <w:t>（二）</w:t>
      </w:r>
      <w:r>
        <w:rPr>
          <w:rFonts w:hint="eastAsia" w:eastAsia="仿宋_GB2312"/>
          <w:color w:val="000000"/>
          <w:sz w:val="32"/>
          <w:szCs w:val="32"/>
        </w:rPr>
        <w:t>未按照规定维护现场执法记录设备，致使音像记录损毁或者丢失，造成严重后果的；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s="仿宋_GB2312"/>
          <w:color w:val="000000"/>
          <w:sz w:val="32"/>
          <w:szCs w:val="32"/>
        </w:rPr>
        <w:t>（三）</w:t>
      </w:r>
      <w:r>
        <w:rPr>
          <w:rFonts w:hint="eastAsia" w:eastAsia="仿宋_GB2312"/>
          <w:color w:val="000000"/>
          <w:sz w:val="32"/>
          <w:szCs w:val="32"/>
        </w:rPr>
        <w:t>未按照规定存储音像记录信息，造成严重后果的；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仿宋_GB2312" w:cs="仿宋_GB2312"/>
          <w:color w:val="000000"/>
          <w:sz w:val="32"/>
          <w:szCs w:val="32"/>
        </w:rPr>
        <w:t>（四）</w:t>
      </w:r>
      <w:r>
        <w:rPr>
          <w:rFonts w:hint="eastAsia" w:eastAsia="仿宋_GB2312"/>
          <w:color w:val="000000"/>
          <w:sz w:val="32"/>
          <w:szCs w:val="32"/>
        </w:rPr>
        <w:t>故意损毁或者伪造、篡改、编辑、剪辑、删改原始文字或者音像记录的；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olor w:val="000000"/>
          <w:sz w:val="32"/>
          <w:szCs w:val="32"/>
        </w:rPr>
      </w:pPr>
      <w:r>
        <w:rPr>
          <w:rFonts w:hint="eastAsia" w:eastAsia="仿宋_GB2312" w:cs="仿宋_GB2312"/>
          <w:color w:val="000000"/>
          <w:sz w:val="32"/>
          <w:szCs w:val="32"/>
        </w:rPr>
        <w:t>（五）</w:t>
      </w:r>
      <w:r>
        <w:rPr>
          <w:rFonts w:hint="eastAsia" w:eastAsia="仿宋_GB2312"/>
          <w:color w:val="000000"/>
          <w:sz w:val="32"/>
          <w:szCs w:val="32"/>
        </w:rPr>
        <w:t>未经批准，擅自对外提供或者通过互联网等传播渠道发布文字或者音像记录的。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olor w:val="000000"/>
          <w:sz w:val="32"/>
          <w:szCs w:val="32"/>
        </w:rPr>
      </w:pPr>
      <w:r>
        <w:rPr>
          <w:rFonts w:hint="eastAsia" w:eastAsia="黑体" w:cs="黑体"/>
          <w:color w:val="000000"/>
          <w:sz w:val="32"/>
          <w:szCs w:val="32"/>
        </w:rPr>
        <w:t>第二十九条</w:t>
      </w:r>
      <w:r>
        <w:rPr>
          <w:rFonts w:hint="eastAsia" w:eastAsia="黑体"/>
          <w:color w:val="000000"/>
          <w:sz w:val="32"/>
          <w:szCs w:val="32"/>
          <w:lang w:val="en-US" w:eastAsia="zh-CN"/>
        </w:rPr>
        <w:t xml:space="preserve"> </w:t>
      </w:r>
      <w:r>
        <w:rPr>
          <w:rFonts w:hint="eastAsia" w:eastAsia="仿宋_GB2312"/>
          <w:color w:val="000000"/>
          <w:sz w:val="32"/>
          <w:szCs w:val="32"/>
        </w:rPr>
        <w:t>当事人及现场其他人员以暴力、胁迫等方法妨碍、阻挠执法人员进行文字、音像记录的，移交公安机关处理。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eastAsia="仿宋_GB2312"/>
          <w:color w:val="000000"/>
          <w:sz w:val="32"/>
          <w:szCs w:val="32"/>
        </w:rPr>
      </w:pPr>
      <w:r>
        <w:rPr>
          <w:rFonts w:hint="eastAsia" w:eastAsia="黑体" w:cs="黑体"/>
          <w:color w:val="000000"/>
          <w:sz w:val="32"/>
          <w:szCs w:val="32"/>
        </w:rPr>
        <w:t>第三十条</w:t>
      </w:r>
      <w:r>
        <w:rPr>
          <w:rFonts w:eastAsia="黑体"/>
          <w:color w:val="000000"/>
          <w:sz w:val="32"/>
          <w:szCs w:val="32"/>
        </w:rPr>
        <w:t xml:space="preserve"> </w:t>
      </w:r>
      <w:r>
        <w:rPr>
          <w:rFonts w:eastAsia="仿宋_GB2312"/>
          <w:color w:val="000000"/>
          <w:sz w:val="32"/>
          <w:szCs w:val="32"/>
        </w:rPr>
        <w:t xml:space="preserve"> </w:t>
      </w:r>
      <w:r>
        <w:rPr>
          <w:rFonts w:hint="eastAsia" w:eastAsia="仿宋_GB2312"/>
          <w:color w:val="000000"/>
          <w:sz w:val="32"/>
          <w:szCs w:val="32"/>
        </w:rPr>
        <w:t>受委托实施行政执法的组织的执法全过程记录，适用本制度。</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eastAsia="仿宋_GB2312"/>
          <w:color w:val="000000"/>
          <w:sz w:val="32"/>
          <w:szCs w:val="32"/>
        </w:rPr>
      </w:pPr>
      <w:r>
        <w:rPr>
          <w:rFonts w:hint="eastAsia" w:eastAsia="黑体" w:cs="黑体"/>
          <w:color w:val="000000"/>
          <w:sz w:val="32"/>
          <w:szCs w:val="32"/>
        </w:rPr>
        <w:t>第三十一条</w:t>
      </w:r>
      <w:r>
        <w:rPr>
          <w:rFonts w:eastAsia="黑体"/>
          <w:color w:val="000000"/>
          <w:sz w:val="32"/>
          <w:szCs w:val="32"/>
        </w:rPr>
        <w:t xml:space="preserve"> </w:t>
      </w:r>
      <w:r>
        <w:rPr>
          <w:rFonts w:eastAsia="仿宋_GB2312"/>
          <w:color w:val="000000"/>
          <w:sz w:val="32"/>
          <w:szCs w:val="32"/>
        </w:rPr>
        <w:t xml:space="preserve"> </w:t>
      </w:r>
      <w:r>
        <w:rPr>
          <w:rFonts w:hint="eastAsia" w:eastAsia="仿宋_GB2312"/>
          <w:color w:val="000000"/>
          <w:sz w:val="32"/>
          <w:szCs w:val="32"/>
        </w:rPr>
        <w:t>本办法自印发之日起施行。</w:t>
      </w:r>
    </w:p>
    <w:bookmarkEnd w:id="0"/>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黑体" w:hAnsi="黑体" w:eastAsia="黑体" w:cs="黑体"/>
          <w:sz w:val="36"/>
          <w:szCs w:val="36"/>
        </w:rPr>
      </w:pPr>
      <w:r>
        <w:rPr>
          <w:rFonts w:hint="eastAsia" w:ascii="仿宋_GB2312" w:hAnsi="仿宋_GB2312" w:eastAsia="仿宋_GB2312" w:cs="仿宋_GB2312"/>
          <w:sz w:val="32"/>
          <w:szCs w:val="32"/>
        </w:rPr>
        <w:t>附</w:t>
      </w:r>
      <w:r>
        <w:rPr>
          <w:rFonts w:hint="eastAsia" w:ascii="仿宋_GB2312" w:hAnsi="仿宋_GB2312" w:eastAsia="仿宋_GB2312" w:cs="仿宋_GB2312"/>
          <w:sz w:val="32"/>
          <w:szCs w:val="32"/>
          <w:lang w:eastAsia="zh-CN"/>
        </w:rPr>
        <w:t>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p>
    <w:p>
      <w:pPr>
        <w:spacing w:line="600" w:lineRule="exact"/>
        <w:jc w:val="center"/>
        <w:rPr>
          <w:rFonts w:hint="eastAsia" w:ascii="黑体" w:hAnsi="黑体" w:eastAsia="黑体" w:cs="黑体"/>
          <w:sz w:val="36"/>
          <w:szCs w:val="36"/>
        </w:rPr>
      </w:pPr>
      <w:r>
        <w:rPr>
          <w:rFonts w:hint="eastAsia" w:ascii="黑体" w:hAnsi="黑体" w:eastAsia="黑体" w:cs="黑体"/>
          <w:sz w:val="36"/>
          <w:szCs w:val="36"/>
        </w:rPr>
        <w:t>证据采集印章模板</w:t>
      </w:r>
    </w:p>
    <w:p>
      <w:pPr>
        <w:spacing w:line="600" w:lineRule="exact"/>
        <w:jc w:val="center"/>
        <w:rPr>
          <w:rFonts w:hint="eastAsia" w:ascii="黑体" w:hAnsi="黑体" w:eastAsia="黑体" w:cs="黑体"/>
          <w:sz w:val="36"/>
          <w:szCs w:val="36"/>
        </w:rPr>
      </w:pPr>
    </w:p>
    <w:tbl>
      <w:tblPr>
        <w:tblStyle w:val="6"/>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2379"/>
        <w:gridCol w:w="2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8" w:hRule="atLeast"/>
        </w:trPr>
        <w:tc>
          <w:tcPr>
            <w:tcW w:w="8400" w:type="dxa"/>
            <w:gridSpan w:val="3"/>
            <w:vAlign w:val="top"/>
          </w:tcPr>
          <w:p>
            <w:pPr>
              <w:spacing w:line="600" w:lineRule="exact"/>
              <w:jc w:val="center"/>
              <w:rPr>
                <w:rFonts w:hint="eastAsia" w:ascii="楷体" w:hAnsi="楷体" w:eastAsia="楷体" w:cs="楷体"/>
                <w:b/>
                <w:bCs/>
                <w:sz w:val="32"/>
                <w:szCs w:val="32"/>
              </w:rPr>
            </w:pPr>
            <w:r>
              <w:rPr>
                <w:rFonts w:hint="eastAsia" w:ascii="楷体" w:hAnsi="楷体" w:eastAsia="楷体" w:cs="楷体"/>
                <w:b/>
                <w:bCs/>
                <w:sz w:val="32"/>
                <w:szCs w:val="32"/>
              </w:rPr>
              <w:t>经核对与原件无异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8" w:hRule="atLeast"/>
        </w:trPr>
        <w:tc>
          <w:tcPr>
            <w:tcW w:w="3472" w:type="dxa"/>
            <w:vAlign w:val="top"/>
          </w:tcPr>
          <w:p>
            <w:pPr>
              <w:spacing w:line="600" w:lineRule="exact"/>
              <w:jc w:val="center"/>
              <w:rPr>
                <w:rFonts w:hint="eastAsia" w:ascii="楷体" w:hAnsi="楷体" w:eastAsia="楷体" w:cs="楷体"/>
                <w:b/>
                <w:bCs/>
                <w:sz w:val="32"/>
                <w:szCs w:val="32"/>
              </w:rPr>
            </w:pPr>
            <w:r>
              <w:rPr>
                <w:rFonts w:hint="eastAsia" w:ascii="楷体" w:hAnsi="楷体" w:eastAsia="楷体" w:cs="楷体"/>
                <w:b/>
                <w:bCs/>
                <w:sz w:val="32"/>
                <w:szCs w:val="32"/>
              </w:rPr>
              <w:t>采集人</w:t>
            </w:r>
          </w:p>
        </w:tc>
        <w:tc>
          <w:tcPr>
            <w:tcW w:w="2379" w:type="dxa"/>
            <w:vAlign w:val="top"/>
          </w:tcPr>
          <w:p>
            <w:pPr>
              <w:spacing w:line="600" w:lineRule="exact"/>
              <w:jc w:val="center"/>
              <w:rPr>
                <w:rFonts w:hint="eastAsia" w:ascii="楷体" w:hAnsi="楷体" w:eastAsia="楷体" w:cs="楷体"/>
                <w:b/>
                <w:bCs/>
                <w:sz w:val="32"/>
                <w:szCs w:val="32"/>
              </w:rPr>
            </w:pPr>
          </w:p>
        </w:tc>
        <w:tc>
          <w:tcPr>
            <w:tcW w:w="2549" w:type="dxa"/>
            <w:vAlign w:val="top"/>
          </w:tcPr>
          <w:p>
            <w:pPr>
              <w:spacing w:line="600" w:lineRule="exact"/>
              <w:jc w:val="center"/>
              <w:rPr>
                <w:rFonts w:hint="eastAsia" w:ascii="楷体" w:hAnsi="楷体" w:eastAsia="楷体" w:cs="楷体"/>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8" w:hRule="atLeast"/>
        </w:trPr>
        <w:tc>
          <w:tcPr>
            <w:tcW w:w="3472" w:type="dxa"/>
            <w:vAlign w:val="top"/>
          </w:tcPr>
          <w:p>
            <w:pPr>
              <w:spacing w:line="600" w:lineRule="exact"/>
              <w:jc w:val="center"/>
              <w:rPr>
                <w:rFonts w:hint="eastAsia" w:ascii="楷体" w:hAnsi="楷体" w:eastAsia="楷体" w:cs="楷体"/>
                <w:b/>
                <w:bCs/>
                <w:sz w:val="32"/>
                <w:szCs w:val="32"/>
              </w:rPr>
            </w:pPr>
            <w:r>
              <w:rPr>
                <w:rFonts w:hint="eastAsia" w:ascii="楷体" w:hAnsi="楷体" w:eastAsia="楷体" w:cs="楷体"/>
                <w:b/>
                <w:bCs/>
                <w:sz w:val="32"/>
                <w:szCs w:val="32"/>
              </w:rPr>
              <w:t>出具人</w:t>
            </w:r>
          </w:p>
        </w:tc>
        <w:tc>
          <w:tcPr>
            <w:tcW w:w="4928" w:type="dxa"/>
            <w:gridSpan w:val="2"/>
            <w:vAlign w:val="top"/>
          </w:tcPr>
          <w:p>
            <w:pPr>
              <w:spacing w:line="600" w:lineRule="exact"/>
              <w:jc w:val="center"/>
              <w:rPr>
                <w:rFonts w:hint="eastAsia" w:ascii="楷体" w:hAnsi="楷体" w:eastAsia="楷体" w:cs="楷体"/>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8" w:hRule="atLeast"/>
        </w:trPr>
        <w:tc>
          <w:tcPr>
            <w:tcW w:w="3472" w:type="dxa"/>
            <w:vAlign w:val="top"/>
          </w:tcPr>
          <w:p>
            <w:pPr>
              <w:spacing w:line="600" w:lineRule="exact"/>
              <w:jc w:val="center"/>
              <w:rPr>
                <w:rFonts w:hint="eastAsia" w:ascii="楷体" w:hAnsi="楷体" w:eastAsia="楷体" w:cs="楷体"/>
                <w:b/>
                <w:bCs/>
                <w:sz w:val="32"/>
                <w:szCs w:val="32"/>
              </w:rPr>
            </w:pPr>
            <w:r>
              <w:rPr>
                <w:rFonts w:hint="eastAsia" w:ascii="楷体" w:hAnsi="楷体" w:eastAsia="楷体" w:cs="楷体"/>
                <w:b/>
                <w:bCs/>
                <w:sz w:val="32"/>
                <w:szCs w:val="32"/>
              </w:rPr>
              <w:t>采集时间</w:t>
            </w:r>
          </w:p>
        </w:tc>
        <w:tc>
          <w:tcPr>
            <w:tcW w:w="4928" w:type="dxa"/>
            <w:gridSpan w:val="2"/>
            <w:vAlign w:val="top"/>
          </w:tcPr>
          <w:p>
            <w:pPr>
              <w:spacing w:line="600" w:lineRule="exact"/>
              <w:jc w:val="center"/>
              <w:rPr>
                <w:rFonts w:hint="eastAsia" w:ascii="楷体" w:hAnsi="楷体" w:eastAsia="楷体" w:cs="楷体"/>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3472" w:type="dxa"/>
            <w:vAlign w:val="top"/>
          </w:tcPr>
          <w:p>
            <w:pPr>
              <w:spacing w:line="600" w:lineRule="exact"/>
              <w:jc w:val="center"/>
              <w:rPr>
                <w:rFonts w:hint="eastAsia" w:ascii="楷体" w:hAnsi="楷体" w:eastAsia="楷体" w:cs="楷体"/>
                <w:b/>
                <w:bCs/>
                <w:sz w:val="32"/>
                <w:szCs w:val="32"/>
              </w:rPr>
            </w:pPr>
            <w:r>
              <w:rPr>
                <w:rFonts w:hint="eastAsia" w:ascii="楷体" w:hAnsi="楷体" w:eastAsia="楷体" w:cs="楷体"/>
                <w:b/>
                <w:bCs/>
                <w:sz w:val="32"/>
                <w:szCs w:val="32"/>
              </w:rPr>
              <w:t>原始凭证存放处</w:t>
            </w:r>
          </w:p>
        </w:tc>
        <w:tc>
          <w:tcPr>
            <w:tcW w:w="4928" w:type="dxa"/>
            <w:gridSpan w:val="2"/>
            <w:vAlign w:val="top"/>
          </w:tcPr>
          <w:p>
            <w:pPr>
              <w:spacing w:line="600" w:lineRule="exact"/>
              <w:jc w:val="center"/>
              <w:rPr>
                <w:rFonts w:hint="eastAsia" w:ascii="楷体" w:hAnsi="楷体" w:eastAsia="楷体" w:cs="楷体"/>
                <w:b/>
                <w:bCs/>
                <w:sz w:val="32"/>
                <w:szCs w:val="32"/>
              </w:rPr>
            </w:pPr>
          </w:p>
        </w:tc>
      </w:tr>
    </w:tbl>
    <w:p>
      <w:pPr>
        <w:spacing w:line="600" w:lineRule="exact"/>
        <w:rPr>
          <w:rFonts w:hint="eastAsia" w:ascii="仿宋" w:hAnsi="仿宋" w:eastAsia="仿宋" w:cs="仿宋"/>
          <w:sz w:val="32"/>
          <w:szCs w:val="32"/>
        </w:rPr>
      </w:pPr>
      <w:r>
        <w:rPr>
          <w:rFonts w:hint="eastAsia" w:ascii="仿宋" w:hAnsi="仿宋" w:eastAsia="仿宋" w:cs="仿宋"/>
          <w:sz w:val="32"/>
          <w:szCs w:val="32"/>
        </w:rPr>
        <w:t>注：印章模板应为长方形，蓝底印章。</w:t>
      </w:r>
    </w:p>
    <w:p>
      <w:pPr>
        <w:spacing w:line="600" w:lineRule="exact"/>
        <w:ind w:firstLine="720" w:firstLineChars="200"/>
        <w:jc w:val="center"/>
        <w:rPr>
          <w:rFonts w:hint="eastAsia" w:ascii="黑体" w:hAnsi="黑体" w:eastAsia="黑体" w:cs="黑体"/>
          <w:sz w:val="36"/>
          <w:szCs w:val="36"/>
        </w:rPr>
      </w:pPr>
    </w:p>
    <w:p>
      <w:pPr>
        <w:spacing w:line="600" w:lineRule="exact"/>
        <w:ind w:firstLine="720" w:firstLineChars="200"/>
        <w:jc w:val="center"/>
        <w:rPr>
          <w:rFonts w:hint="eastAsia" w:ascii="黑体" w:hAnsi="黑体" w:eastAsia="黑体" w:cs="黑体"/>
          <w:sz w:val="36"/>
          <w:szCs w:val="36"/>
        </w:rPr>
      </w:pPr>
      <w:r>
        <w:rPr>
          <w:rFonts w:hint="eastAsia" w:ascii="黑体" w:hAnsi="黑体" w:eastAsia="黑体" w:cs="黑体"/>
          <w:sz w:val="36"/>
          <w:szCs w:val="36"/>
        </w:rPr>
        <w:t>拍摄照片证据文字说明模板</w:t>
      </w:r>
    </w:p>
    <w:p>
      <w:pPr>
        <w:spacing w:line="600" w:lineRule="exact"/>
        <w:ind w:firstLine="720" w:firstLineChars="200"/>
        <w:jc w:val="center"/>
        <w:rPr>
          <w:rFonts w:hint="eastAsia" w:ascii="黑体" w:hAnsi="黑体" w:eastAsia="黑体" w:cs="黑体"/>
          <w:sz w:val="36"/>
          <w:szCs w:val="36"/>
        </w:rPr>
      </w:pPr>
    </w:p>
    <w:tbl>
      <w:tblPr>
        <w:tblStyle w:val="6"/>
        <w:tblW w:w="8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6"/>
        <w:gridCol w:w="2405"/>
        <w:gridCol w:w="1466"/>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5" w:hRule="atLeast"/>
        </w:trPr>
        <w:tc>
          <w:tcPr>
            <w:tcW w:w="1676" w:type="dxa"/>
            <w:vAlign w:val="center"/>
          </w:tcPr>
          <w:p>
            <w:pPr>
              <w:spacing w:line="600" w:lineRule="exact"/>
              <w:jc w:val="center"/>
              <w:rPr>
                <w:rFonts w:hint="eastAsia" w:ascii="楷体" w:hAnsi="楷体" w:eastAsia="楷体" w:cs="楷体"/>
                <w:b/>
                <w:bCs/>
                <w:sz w:val="32"/>
                <w:szCs w:val="32"/>
              </w:rPr>
            </w:pPr>
            <w:r>
              <w:rPr>
                <w:rFonts w:hint="eastAsia" w:ascii="楷体" w:hAnsi="楷体" w:eastAsia="楷体" w:cs="楷体"/>
                <w:b/>
                <w:bCs/>
                <w:sz w:val="32"/>
                <w:szCs w:val="32"/>
              </w:rPr>
              <w:t>拍摄时间</w:t>
            </w:r>
          </w:p>
        </w:tc>
        <w:tc>
          <w:tcPr>
            <w:tcW w:w="2405" w:type="dxa"/>
            <w:vAlign w:val="center"/>
          </w:tcPr>
          <w:p>
            <w:pPr>
              <w:spacing w:line="600" w:lineRule="exact"/>
              <w:jc w:val="center"/>
              <w:rPr>
                <w:rFonts w:hint="eastAsia" w:ascii="楷体" w:hAnsi="楷体" w:eastAsia="楷体" w:cs="楷体"/>
                <w:b/>
                <w:bCs/>
                <w:sz w:val="32"/>
                <w:szCs w:val="32"/>
              </w:rPr>
            </w:pPr>
          </w:p>
        </w:tc>
        <w:tc>
          <w:tcPr>
            <w:tcW w:w="1466" w:type="dxa"/>
            <w:vMerge w:val="restart"/>
            <w:vAlign w:val="center"/>
          </w:tcPr>
          <w:p>
            <w:pPr>
              <w:spacing w:line="600" w:lineRule="exact"/>
              <w:jc w:val="center"/>
              <w:rPr>
                <w:rFonts w:hint="eastAsia" w:ascii="楷体" w:hAnsi="楷体" w:eastAsia="楷体" w:cs="楷体"/>
                <w:b/>
                <w:bCs/>
                <w:sz w:val="32"/>
                <w:szCs w:val="32"/>
              </w:rPr>
            </w:pPr>
            <w:r>
              <w:rPr>
                <w:rFonts w:hint="eastAsia" w:ascii="楷体" w:hAnsi="楷体" w:eastAsia="楷体" w:cs="楷体"/>
                <w:b/>
                <w:bCs/>
                <w:sz w:val="32"/>
                <w:szCs w:val="32"/>
              </w:rPr>
              <w:t>证据简要说明</w:t>
            </w:r>
          </w:p>
        </w:tc>
        <w:tc>
          <w:tcPr>
            <w:tcW w:w="2833" w:type="dxa"/>
            <w:vMerge w:val="restart"/>
            <w:vAlign w:val="center"/>
          </w:tcPr>
          <w:p>
            <w:pPr>
              <w:spacing w:line="600" w:lineRule="exact"/>
              <w:jc w:val="center"/>
              <w:rPr>
                <w:rFonts w:hint="eastAsia" w:ascii="楷体" w:hAnsi="楷体" w:eastAsia="楷体" w:cs="楷体"/>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5" w:hRule="atLeast"/>
        </w:trPr>
        <w:tc>
          <w:tcPr>
            <w:tcW w:w="1676" w:type="dxa"/>
            <w:vAlign w:val="top"/>
          </w:tcPr>
          <w:p>
            <w:pPr>
              <w:spacing w:line="600" w:lineRule="exact"/>
              <w:jc w:val="center"/>
              <w:rPr>
                <w:rFonts w:hint="eastAsia" w:ascii="楷体" w:hAnsi="楷体" w:eastAsia="楷体" w:cs="楷体"/>
                <w:b/>
                <w:bCs/>
                <w:sz w:val="32"/>
                <w:szCs w:val="32"/>
              </w:rPr>
            </w:pPr>
            <w:r>
              <w:rPr>
                <w:rFonts w:hint="eastAsia" w:ascii="楷体" w:hAnsi="楷体" w:eastAsia="楷体" w:cs="楷体"/>
                <w:b/>
                <w:bCs/>
                <w:sz w:val="32"/>
                <w:szCs w:val="32"/>
              </w:rPr>
              <w:t>拍摄地点</w:t>
            </w:r>
          </w:p>
        </w:tc>
        <w:tc>
          <w:tcPr>
            <w:tcW w:w="2405" w:type="dxa"/>
            <w:vAlign w:val="top"/>
          </w:tcPr>
          <w:p>
            <w:pPr>
              <w:spacing w:line="600" w:lineRule="exact"/>
              <w:jc w:val="center"/>
              <w:rPr>
                <w:rFonts w:hint="eastAsia" w:ascii="黑体" w:hAnsi="黑体" w:eastAsia="黑体" w:cs="黑体"/>
                <w:sz w:val="36"/>
                <w:szCs w:val="36"/>
              </w:rPr>
            </w:pPr>
          </w:p>
        </w:tc>
        <w:tc>
          <w:tcPr>
            <w:tcW w:w="1466" w:type="dxa"/>
            <w:vMerge w:val="continue"/>
            <w:vAlign w:val="top"/>
          </w:tcPr>
          <w:p>
            <w:pPr>
              <w:spacing w:line="600" w:lineRule="exact"/>
              <w:jc w:val="center"/>
              <w:rPr>
                <w:rFonts w:hint="eastAsia" w:ascii="黑体" w:hAnsi="黑体" w:eastAsia="黑体" w:cs="黑体"/>
                <w:sz w:val="36"/>
                <w:szCs w:val="36"/>
              </w:rPr>
            </w:pPr>
          </w:p>
        </w:tc>
        <w:tc>
          <w:tcPr>
            <w:tcW w:w="2833" w:type="dxa"/>
            <w:vMerge w:val="continue"/>
            <w:vAlign w:val="top"/>
          </w:tcPr>
          <w:p>
            <w:pPr>
              <w:spacing w:line="600" w:lineRule="exact"/>
              <w:jc w:val="center"/>
              <w:rPr>
                <w:rFonts w:hint="eastAsia" w:ascii="黑体" w:hAnsi="黑体" w:eastAsia="黑体" w:cs="黑体"/>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5" w:hRule="atLeast"/>
        </w:trPr>
        <w:tc>
          <w:tcPr>
            <w:tcW w:w="1676" w:type="dxa"/>
            <w:vAlign w:val="top"/>
          </w:tcPr>
          <w:p>
            <w:pPr>
              <w:spacing w:line="600" w:lineRule="exact"/>
              <w:jc w:val="center"/>
              <w:rPr>
                <w:rFonts w:hint="eastAsia" w:ascii="楷体" w:hAnsi="楷体" w:eastAsia="楷体" w:cs="楷体"/>
                <w:b/>
                <w:bCs/>
                <w:sz w:val="32"/>
                <w:szCs w:val="32"/>
              </w:rPr>
            </w:pPr>
            <w:r>
              <w:rPr>
                <w:rFonts w:hint="eastAsia" w:ascii="楷体" w:hAnsi="楷体" w:eastAsia="楷体" w:cs="楷体"/>
                <w:b/>
                <w:bCs/>
                <w:sz w:val="32"/>
                <w:szCs w:val="32"/>
              </w:rPr>
              <w:t>拍摄人</w:t>
            </w:r>
          </w:p>
        </w:tc>
        <w:tc>
          <w:tcPr>
            <w:tcW w:w="2405" w:type="dxa"/>
            <w:vAlign w:val="top"/>
          </w:tcPr>
          <w:p>
            <w:pPr>
              <w:spacing w:line="600" w:lineRule="exact"/>
              <w:jc w:val="center"/>
              <w:rPr>
                <w:rFonts w:hint="eastAsia" w:ascii="黑体" w:hAnsi="黑体" w:eastAsia="黑体" w:cs="黑体"/>
                <w:sz w:val="36"/>
                <w:szCs w:val="36"/>
              </w:rPr>
            </w:pPr>
          </w:p>
        </w:tc>
        <w:tc>
          <w:tcPr>
            <w:tcW w:w="1466" w:type="dxa"/>
            <w:vMerge w:val="continue"/>
            <w:vAlign w:val="top"/>
          </w:tcPr>
          <w:p>
            <w:pPr>
              <w:spacing w:line="600" w:lineRule="exact"/>
              <w:jc w:val="center"/>
              <w:rPr>
                <w:rFonts w:hint="eastAsia" w:ascii="黑体" w:hAnsi="黑体" w:eastAsia="黑体" w:cs="黑体"/>
                <w:sz w:val="36"/>
                <w:szCs w:val="36"/>
              </w:rPr>
            </w:pPr>
          </w:p>
        </w:tc>
        <w:tc>
          <w:tcPr>
            <w:tcW w:w="2833" w:type="dxa"/>
            <w:vMerge w:val="continue"/>
            <w:vAlign w:val="top"/>
          </w:tcPr>
          <w:p>
            <w:pPr>
              <w:spacing w:line="600" w:lineRule="exact"/>
              <w:jc w:val="center"/>
              <w:rPr>
                <w:rFonts w:hint="eastAsia" w:ascii="黑体" w:hAnsi="黑体" w:eastAsia="黑体" w:cs="黑体"/>
                <w:sz w:val="36"/>
                <w:szCs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9" w:hRule="atLeast"/>
        </w:trPr>
        <w:tc>
          <w:tcPr>
            <w:tcW w:w="1676" w:type="dxa"/>
            <w:vAlign w:val="top"/>
          </w:tcPr>
          <w:p>
            <w:pPr>
              <w:spacing w:line="600" w:lineRule="exact"/>
              <w:jc w:val="center"/>
              <w:rPr>
                <w:rFonts w:hint="eastAsia" w:ascii="楷体" w:hAnsi="楷体" w:eastAsia="楷体" w:cs="楷体"/>
                <w:b/>
                <w:bCs/>
                <w:sz w:val="32"/>
                <w:szCs w:val="32"/>
              </w:rPr>
            </w:pPr>
            <w:r>
              <w:rPr>
                <w:rFonts w:hint="eastAsia" w:ascii="楷体" w:hAnsi="楷体" w:eastAsia="楷体" w:cs="楷体"/>
                <w:b/>
                <w:bCs/>
                <w:sz w:val="32"/>
                <w:szCs w:val="32"/>
              </w:rPr>
              <w:t>证明人</w:t>
            </w:r>
          </w:p>
        </w:tc>
        <w:tc>
          <w:tcPr>
            <w:tcW w:w="2405" w:type="dxa"/>
            <w:vAlign w:val="top"/>
          </w:tcPr>
          <w:p>
            <w:pPr>
              <w:spacing w:line="600" w:lineRule="exact"/>
              <w:jc w:val="center"/>
              <w:rPr>
                <w:rFonts w:hint="eastAsia" w:ascii="黑体" w:hAnsi="黑体" w:eastAsia="黑体" w:cs="黑体"/>
                <w:sz w:val="36"/>
                <w:szCs w:val="36"/>
              </w:rPr>
            </w:pPr>
          </w:p>
        </w:tc>
        <w:tc>
          <w:tcPr>
            <w:tcW w:w="1466" w:type="dxa"/>
            <w:vMerge w:val="continue"/>
            <w:vAlign w:val="top"/>
          </w:tcPr>
          <w:p>
            <w:pPr>
              <w:spacing w:line="600" w:lineRule="exact"/>
              <w:jc w:val="center"/>
              <w:rPr>
                <w:rFonts w:hint="eastAsia" w:ascii="黑体" w:hAnsi="黑体" w:eastAsia="黑体" w:cs="黑体"/>
                <w:sz w:val="36"/>
                <w:szCs w:val="36"/>
              </w:rPr>
            </w:pPr>
          </w:p>
        </w:tc>
        <w:tc>
          <w:tcPr>
            <w:tcW w:w="2833" w:type="dxa"/>
            <w:vMerge w:val="continue"/>
            <w:vAlign w:val="top"/>
          </w:tcPr>
          <w:p>
            <w:pPr>
              <w:spacing w:line="600" w:lineRule="exact"/>
              <w:jc w:val="center"/>
              <w:rPr>
                <w:rFonts w:hint="eastAsia" w:ascii="黑体" w:hAnsi="黑体" w:eastAsia="黑体" w:cs="黑体"/>
                <w:sz w:val="36"/>
                <w:szCs w:val="36"/>
              </w:rPr>
            </w:pPr>
          </w:p>
        </w:tc>
      </w:tr>
    </w:tbl>
    <w:p>
      <w:pPr>
        <w:spacing w:line="600" w:lineRule="exact"/>
        <w:rPr>
          <w:rFonts w:hint="eastAsia" w:ascii="仿宋" w:hAnsi="仿宋" w:eastAsia="仿宋" w:cs="仿宋"/>
          <w:sz w:val="32"/>
          <w:szCs w:val="32"/>
        </w:rPr>
      </w:pPr>
    </w:p>
    <w:p>
      <w:pPr>
        <w:spacing w:line="600" w:lineRule="exact"/>
        <w:rPr>
          <w:rFonts w:hint="eastAsia" w:ascii="仿宋" w:hAnsi="仿宋" w:eastAsia="仿宋" w:cs="仿宋"/>
          <w:sz w:val="32"/>
          <w:szCs w:val="32"/>
        </w:rPr>
      </w:pPr>
    </w:p>
    <w:p>
      <w:pPr>
        <w:spacing w:line="600" w:lineRule="exact"/>
        <w:rPr>
          <w:rFonts w:hint="eastAsia" w:ascii="仿宋" w:hAnsi="仿宋" w:eastAsia="仿宋" w:cs="仿宋"/>
          <w:sz w:val="32"/>
          <w:szCs w:val="32"/>
        </w:rPr>
      </w:pPr>
      <w:r>
        <w:rPr>
          <w:rFonts w:hint="eastAsia" w:ascii="仿宋" w:hAnsi="仿宋" w:eastAsia="仿宋" w:cs="仿宋"/>
          <w:sz w:val="32"/>
          <w:szCs w:val="32"/>
        </w:rPr>
        <w:t>附件</w:t>
      </w:r>
      <w:r>
        <w:rPr>
          <w:rFonts w:hint="eastAsia" w:ascii="仿宋" w:hAnsi="仿宋" w:eastAsia="仿宋" w:cs="仿宋"/>
          <w:sz w:val="32"/>
          <w:szCs w:val="32"/>
          <w:lang w:val="en-US" w:eastAsia="zh-CN"/>
        </w:rPr>
        <w:t>3</w:t>
      </w:r>
      <w:r>
        <w:rPr>
          <w:rFonts w:hint="eastAsia" w:ascii="仿宋" w:hAnsi="仿宋" w:eastAsia="仿宋" w:cs="仿宋"/>
          <w:sz w:val="32"/>
          <w:szCs w:val="32"/>
        </w:rPr>
        <w:t>：</w:t>
      </w:r>
    </w:p>
    <w:p>
      <w:pPr>
        <w:numPr>
          <w:ilvl w:val="0"/>
          <w:numId w:val="0"/>
        </w:numPr>
        <w:jc w:val="center"/>
        <w:rPr>
          <w:rFonts w:hint="eastAsia" w:ascii="宋体" w:hAnsi="宋体" w:eastAsia="宋体" w:cs="宋体"/>
          <w:b/>
          <w:bCs/>
          <w:sz w:val="44"/>
          <w:szCs w:val="44"/>
          <w:lang w:val="en-US" w:eastAsia="zh-CN"/>
        </w:rPr>
      </w:pPr>
      <w:r>
        <w:rPr>
          <w:rFonts w:hint="eastAsia" w:ascii="宋体" w:hAnsi="宋体" w:cs="宋体"/>
          <w:b/>
          <w:bCs/>
          <w:sz w:val="44"/>
          <w:szCs w:val="44"/>
          <w:lang w:val="en-US" w:eastAsia="zh-CN"/>
        </w:rPr>
        <w:t>夏县</w:t>
      </w:r>
      <w:r>
        <w:rPr>
          <w:rFonts w:hint="eastAsia" w:ascii="宋体" w:hAnsi="宋体" w:eastAsia="宋体" w:cs="宋体"/>
          <w:b/>
          <w:bCs/>
          <w:sz w:val="44"/>
          <w:szCs w:val="44"/>
          <w:lang w:val="en-US" w:eastAsia="zh-CN"/>
        </w:rPr>
        <w:t>应急管理局举报投诉登记表</w:t>
      </w:r>
    </w:p>
    <w:p>
      <w:pPr>
        <w:numPr>
          <w:ilvl w:val="0"/>
          <w:numId w:val="0"/>
        </w:numPr>
        <w:jc w:val="left"/>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时间：20   年   月   日                登记人：</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840"/>
        <w:gridCol w:w="990"/>
        <w:gridCol w:w="840"/>
        <w:gridCol w:w="675"/>
        <w:gridCol w:w="405"/>
        <w:gridCol w:w="855"/>
        <w:gridCol w:w="615"/>
        <w:gridCol w:w="152"/>
        <w:gridCol w:w="928"/>
        <w:gridCol w:w="1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4" w:type="dxa"/>
            <w:vMerge w:val="restart"/>
            <w:tcBorders>
              <w:top w:val="single" w:color="auto" w:sz="12" w:space="0"/>
              <w:left w:val="single" w:color="auto" w:sz="12" w:space="0"/>
            </w:tcBorders>
            <w:vAlign w:val="center"/>
          </w:tcPr>
          <w:p>
            <w:pPr>
              <w:numPr>
                <w:ilvl w:val="0"/>
                <w:numId w:val="0"/>
              </w:numPr>
              <w:jc w:val="center"/>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举报人</w:t>
            </w:r>
          </w:p>
        </w:tc>
        <w:tc>
          <w:tcPr>
            <w:tcW w:w="840" w:type="dxa"/>
            <w:tcBorders>
              <w:top w:val="single" w:color="auto" w:sz="12" w:space="0"/>
            </w:tcBorders>
            <w:vAlign w:val="center"/>
          </w:tcPr>
          <w:p>
            <w:pPr>
              <w:numPr>
                <w:ilvl w:val="0"/>
                <w:numId w:val="0"/>
              </w:numPr>
              <w:jc w:val="center"/>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姓名</w:t>
            </w:r>
          </w:p>
        </w:tc>
        <w:tc>
          <w:tcPr>
            <w:tcW w:w="1830" w:type="dxa"/>
            <w:gridSpan w:val="2"/>
            <w:tcBorders>
              <w:top w:val="single" w:color="auto" w:sz="12" w:space="0"/>
            </w:tcBorders>
            <w:vAlign w:val="center"/>
          </w:tcPr>
          <w:p>
            <w:pPr>
              <w:numPr>
                <w:ilvl w:val="0"/>
                <w:numId w:val="0"/>
              </w:numPr>
              <w:jc w:val="center"/>
              <w:rPr>
                <w:rFonts w:hint="eastAsia" w:ascii="宋体" w:hAnsi="宋体" w:eastAsia="宋体" w:cs="宋体"/>
                <w:b w:val="0"/>
                <w:bCs w:val="0"/>
                <w:sz w:val="30"/>
                <w:szCs w:val="30"/>
                <w:lang w:val="en-US" w:eastAsia="zh-CN"/>
              </w:rPr>
            </w:pPr>
          </w:p>
        </w:tc>
        <w:tc>
          <w:tcPr>
            <w:tcW w:w="1080" w:type="dxa"/>
            <w:gridSpan w:val="2"/>
            <w:tcBorders>
              <w:top w:val="single" w:color="auto" w:sz="12" w:space="0"/>
            </w:tcBorders>
            <w:vAlign w:val="center"/>
          </w:tcPr>
          <w:p>
            <w:pPr>
              <w:numPr>
                <w:ilvl w:val="0"/>
                <w:numId w:val="0"/>
              </w:numPr>
              <w:jc w:val="center"/>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化名</w:t>
            </w:r>
          </w:p>
        </w:tc>
        <w:tc>
          <w:tcPr>
            <w:tcW w:w="1622" w:type="dxa"/>
            <w:gridSpan w:val="3"/>
            <w:tcBorders>
              <w:top w:val="single" w:color="auto" w:sz="12" w:space="0"/>
            </w:tcBorders>
            <w:vAlign w:val="center"/>
          </w:tcPr>
          <w:p>
            <w:pPr>
              <w:numPr>
                <w:ilvl w:val="0"/>
                <w:numId w:val="0"/>
              </w:numPr>
              <w:jc w:val="center"/>
              <w:rPr>
                <w:rFonts w:hint="eastAsia" w:ascii="宋体" w:hAnsi="宋体" w:eastAsia="宋体" w:cs="宋体"/>
                <w:b w:val="0"/>
                <w:bCs w:val="0"/>
                <w:sz w:val="30"/>
                <w:szCs w:val="30"/>
                <w:lang w:val="en-US" w:eastAsia="zh-CN"/>
              </w:rPr>
            </w:pPr>
          </w:p>
        </w:tc>
        <w:tc>
          <w:tcPr>
            <w:tcW w:w="928" w:type="dxa"/>
            <w:tcBorders>
              <w:top w:val="single" w:color="auto" w:sz="12" w:space="0"/>
            </w:tcBorders>
            <w:vAlign w:val="center"/>
          </w:tcPr>
          <w:p>
            <w:pPr>
              <w:numPr>
                <w:ilvl w:val="0"/>
                <w:numId w:val="0"/>
              </w:numPr>
              <w:jc w:val="center"/>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代号</w:t>
            </w:r>
          </w:p>
        </w:tc>
        <w:tc>
          <w:tcPr>
            <w:tcW w:w="1508" w:type="dxa"/>
            <w:tcBorders>
              <w:top w:val="single" w:color="auto" w:sz="12" w:space="0"/>
              <w:right w:val="single" w:color="auto" w:sz="12" w:space="0"/>
            </w:tcBorders>
            <w:vAlign w:val="center"/>
          </w:tcPr>
          <w:p>
            <w:pPr>
              <w:numPr>
                <w:ilvl w:val="0"/>
                <w:numId w:val="0"/>
              </w:numPr>
              <w:jc w:val="center"/>
              <w:rPr>
                <w:rFonts w:hint="eastAsia" w:ascii="宋体" w:hAnsi="宋体" w:eastAsia="宋体" w:cs="宋体"/>
                <w:b w:val="0"/>
                <w:bCs w:val="0"/>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4" w:type="dxa"/>
            <w:vMerge w:val="continue"/>
            <w:tcBorders>
              <w:left w:val="single" w:color="auto" w:sz="12" w:space="0"/>
            </w:tcBorders>
            <w:vAlign w:val="center"/>
          </w:tcPr>
          <w:p>
            <w:pPr>
              <w:numPr>
                <w:ilvl w:val="0"/>
                <w:numId w:val="0"/>
              </w:numPr>
              <w:jc w:val="center"/>
              <w:rPr>
                <w:rFonts w:hint="eastAsia" w:ascii="宋体" w:hAnsi="宋体" w:eastAsia="宋体" w:cs="宋体"/>
                <w:b w:val="0"/>
                <w:bCs w:val="0"/>
                <w:sz w:val="30"/>
                <w:szCs w:val="30"/>
                <w:lang w:val="en-US" w:eastAsia="zh-CN"/>
              </w:rPr>
            </w:pPr>
          </w:p>
        </w:tc>
        <w:tc>
          <w:tcPr>
            <w:tcW w:w="840" w:type="dxa"/>
            <w:vAlign w:val="center"/>
          </w:tcPr>
          <w:p>
            <w:pPr>
              <w:numPr>
                <w:ilvl w:val="0"/>
                <w:numId w:val="0"/>
              </w:numPr>
              <w:jc w:val="center"/>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性别</w:t>
            </w:r>
          </w:p>
        </w:tc>
        <w:tc>
          <w:tcPr>
            <w:tcW w:w="990" w:type="dxa"/>
            <w:vAlign w:val="center"/>
          </w:tcPr>
          <w:p>
            <w:pPr>
              <w:numPr>
                <w:ilvl w:val="0"/>
                <w:numId w:val="0"/>
              </w:numPr>
              <w:jc w:val="center"/>
              <w:rPr>
                <w:rFonts w:hint="eastAsia" w:ascii="宋体" w:hAnsi="宋体" w:eastAsia="宋体" w:cs="宋体"/>
                <w:b w:val="0"/>
                <w:bCs w:val="0"/>
                <w:sz w:val="30"/>
                <w:szCs w:val="30"/>
                <w:lang w:val="en-US" w:eastAsia="zh-CN"/>
              </w:rPr>
            </w:pPr>
          </w:p>
        </w:tc>
        <w:tc>
          <w:tcPr>
            <w:tcW w:w="840" w:type="dxa"/>
            <w:vAlign w:val="center"/>
          </w:tcPr>
          <w:p>
            <w:pPr>
              <w:numPr>
                <w:ilvl w:val="0"/>
                <w:numId w:val="0"/>
              </w:numPr>
              <w:jc w:val="center"/>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年龄</w:t>
            </w:r>
          </w:p>
        </w:tc>
        <w:tc>
          <w:tcPr>
            <w:tcW w:w="1080" w:type="dxa"/>
            <w:gridSpan w:val="2"/>
            <w:vAlign w:val="center"/>
          </w:tcPr>
          <w:p>
            <w:pPr>
              <w:numPr>
                <w:ilvl w:val="0"/>
                <w:numId w:val="0"/>
              </w:numPr>
              <w:jc w:val="center"/>
              <w:rPr>
                <w:rFonts w:hint="eastAsia" w:ascii="宋体" w:hAnsi="宋体" w:eastAsia="宋体" w:cs="宋体"/>
                <w:b w:val="0"/>
                <w:bCs w:val="0"/>
                <w:sz w:val="30"/>
                <w:szCs w:val="30"/>
                <w:lang w:val="en-US" w:eastAsia="zh-CN"/>
              </w:rPr>
            </w:pPr>
          </w:p>
        </w:tc>
        <w:tc>
          <w:tcPr>
            <w:tcW w:w="855" w:type="dxa"/>
            <w:vAlign w:val="center"/>
          </w:tcPr>
          <w:p>
            <w:pPr>
              <w:numPr>
                <w:ilvl w:val="0"/>
                <w:numId w:val="0"/>
              </w:numPr>
              <w:jc w:val="center"/>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住址</w:t>
            </w:r>
          </w:p>
        </w:tc>
        <w:tc>
          <w:tcPr>
            <w:tcW w:w="3203" w:type="dxa"/>
            <w:gridSpan w:val="4"/>
            <w:tcBorders>
              <w:right w:val="single" w:color="auto" w:sz="12" w:space="0"/>
            </w:tcBorders>
            <w:vAlign w:val="center"/>
          </w:tcPr>
          <w:p>
            <w:pPr>
              <w:numPr>
                <w:ilvl w:val="0"/>
                <w:numId w:val="0"/>
              </w:numPr>
              <w:jc w:val="center"/>
              <w:rPr>
                <w:rFonts w:hint="eastAsia" w:ascii="宋体" w:hAnsi="宋体" w:eastAsia="宋体" w:cs="宋体"/>
                <w:b w:val="0"/>
                <w:bCs w:val="0"/>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4" w:type="dxa"/>
            <w:vMerge w:val="continue"/>
            <w:tcBorders>
              <w:left w:val="single" w:color="auto" w:sz="12" w:space="0"/>
            </w:tcBorders>
            <w:vAlign w:val="center"/>
          </w:tcPr>
          <w:p>
            <w:pPr>
              <w:numPr>
                <w:ilvl w:val="0"/>
                <w:numId w:val="0"/>
              </w:numPr>
              <w:jc w:val="center"/>
              <w:rPr>
                <w:rFonts w:hint="eastAsia" w:ascii="宋体" w:hAnsi="宋体" w:eastAsia="宋体" w:cs="宋体"/>
                <w:b w:val="0"/>
                <w:bCs w:val="0"/>
                <w:sz w:val="30"/>
                <w:szCs w:val="30"/>
                <w:lang w:val="en-US" w:eastAsia="zh-CN"/>
              </w:rPr>
            </w:pPr>
          </w:p>
        </w:tc>
        <w:tc>
          <w:tcPr>
            <w:tcW w:w="840" w:type="dxa"/>
            <w:vAlign w:val="center"/>
          </w:tcPr>
          <w:p>
            <w:pPr>
              <w:numPr>
                <w:ilvl w:val="0"/>
                <w:numId w:val="0"/>
              </w:numPr>
              <w:jc w:val="center"/>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单位</w:t>
            </w:r>
          </w:p>
        </w:tc>
        <w:tc>
          <w:tcPr>
            <w:tcW w:w="2910" w:type="dxa"/>
            <w:gridSpan w:val="4"/>
            <w:vAlign w:val="center"/>
          </w:tcPr>
          <w:p>
            <w:pPr>
              <w:numPr>
                <w:ilvl w:val="0"/>
                <w:numId w:val="0"/>
              </w:numPr>
              <w:jc w:val="center"/>
              <w:rPr>
                <w:rFonts w:hint="eastAsia" w:ascii="宋体" w:hAnsi="宋体" w:eastAsia="宋体" w:cs="宋体"/>
                <w:b w:val="0"/>
                <w:bCs w:val="0"/>
                <w:sz w:val="30"/>
                <w:szCs w:val="30"/>
                <w:lang w:val="en-US" w:eastAsia="zh-CN"/>
              </w:rPr>
            </w:pPr>
          </w:p>
        </w:tc>
        <w:tc>
          <w:tcPr>
            <w:tcW w:w="1470" w:type="dxa"/>
            <w:gridSpan w:val="2"/>
            <w:vAlign w:val="center"/>
          </w:tcPr>
          <w:p>
            <w:pPr>
              <w:numPr>
                <w:ilvl w:val="0"/>
                <w:numId w:val="0"/>
              </w:numPr>
              <w:jc w:val="center"/>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联系电话</w:t>
            </w:r>
          </w:p>
        </w:tc>
        <w:tc>
          <w:tcPr>
            <w:tcW w:w="2588" w:type="dxa"/>
            <w:gridSpan w:val="3"/>
            <w:tcBorders>
              <w:right w:val="single" w:color="auto" w:sz="12" w:space="0"/>
            </w:tcBorders>
            <w:vAlign w:val="center"/>
          </w:tcPr>
          <w:p>
            <w:pPr>
              <w:numPr>
                <w:ilvl w:val="0"/>
                <w:numId w:val="0"/>
              </w:numPr>
              <w:jc w:val="center"/>
              <w:rPr>
                <w:rFonts w:hint="eastAsia" w:ascii="宋体" w:hAnsi="宋体" w:eastAsia="宋体" w:cs="宋体"/>
                <w:b w:val="0"/>
                <w:bCs w:val="0"/>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2" w:hRule="exact"/>
        </w:trPr>
        <w:tc>
          <w:tcPr>
            <w:tcW w:w="8522" w:type="dxa"/>
            <w:gridSpan w:val="11"/>
            <w:tcBorders>
              <w:left w:val="single" w:color="auto" w:sz="12" w:space="0"/>
              <w:right w:val="single" w:color="auto" w:sz="12" w:space="0"/>
            </w:tcBorders>
            <w:vAlign w:val="center"/>
          </w:tcPr>
          <w:p>
            <w:pPr>
              <w:numPr>
                <w:ilvl w:val="0"/>
                <w:numId w:val="0"/>
              </w:numPr>
              <w:jc w:val="left"/>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举报内容：</w:t>
            </w:r>
          </w:p>
          <w:p>
            <w:pPr>
              <w:numPr>
                <w:ilvl w:val="0"/>
                <w:numId w:val="0"/>
              </w:numPr>
              <w:jc w:val="left"/>
              <w:rPr>
                <w:rFonts w:hint="eastAsia" w:ascii="宋体" w:hAnsi="宋体" w:eastAsia="宋体" w:cs="宋体"/>
                <w:b w:val="0"/>
                <w:bCs w:val="0"/>
                <w:sz w:val="30"/>
                <w:szCs w:val="30"/>
                <w:lang w:val="en-US" w:eastAsia="zh-CN"/>
              </w:rPr>
            </w:pPr>
          </w:p>
          <w:p>
            <w:pPr>
              <w:numPr>
                <w:ilvl w:val="0"/>
                <w:numId w:val="0"/>
              </w:numPr>
              <w:jc w:val="left"/>
              <w:rPr>
                <w:rFonts w:hint="eastAsia" w:ascii="宋体" w:hAnsi="宋体" w:eastAsia="宋体" w:cs="宋体"/>
                <w:b w:val="0"/>
                <w:bCs w:val="0"/>
                <w:sz w:val="30"/>
                <w:szCs w:val="30"/>
                <w:lang w:val="en-US" w:eastAsia="zh-CN"/>
              </w:rPr>
            </w:pPr>
          </w:p>
          <w:p>
            <w:pPr>
              <w:numPr>
                <w:ilvl w:val="0"/>
                <w:numId w:val="0"/>
              </w:numPr>
              <w:jc w:val="left"/>
              <w:rPr>
                <w:rFonts w:hint="eastAsia" w:ascii="宋体" w:hAnsi="宋体" w:eastAsia="宋体" w:cs="宋体"/>
                <w:b w:val="0"/>
                <w:bCs w:val="0"/>
                <w:sz w:val="30"/>
                <w:szCs w:val="30"/>
                <w:lang w:val="en-US" w:eastAsia="zh-CN"/>
              </w:rPr>
            </w:pPr>
          </w:p>
          <w:p>
            <w:pPr>
              <w:numPr>
                <w:ilvl w:val="0"/>
                <w:numId w:val="0"/>
              </w:numPr>
              <w:jc w:val="left"/>
              <w:rPr>
                <w:rFonts w:hint="eastAsia" w:ascii="宋体" w:hAnsi="宋体" w:eastAsia="宋体" w:cs="宋体"/>
                <w:b w:val="0"/>
                <w:bCs w:val="0"/>
                <w:sz w:val="30"/>
                <w:szCs w:val="30"/>
                <w:lang w:val="en-US" w:eastAsia="zh-CN"/>
              </w:rPr>
            </w:pPr>
          </w:p>
          <w:p>
            <w:pPr>
              <w:numPr>
                <w:ilvl w:val="0"/>
                <w:numId w:val="0"/>
              </w:numPr>
              <w:jc w:val="left"/>
              <w:rPr>
                <w:rFonts w:hint="eastAsia" w:ascii="宋体" w:hAnsi="宋体" w:eastAsia="宋体" w:cs="宋体"/>
                <w:b w:val="0"/>
                <w:bCs w:val="0"/>
                <w:sz w:val="30"/>
                <w:szCs w:val="30"/>
                <w:lang w:val="en-US" w:eastAsia="zh-CN"/>
              </w:rPr>
            </w:pPr>
          </w:p>
          <w:p>
            <w:pPr>
              <w:numPr>
                <w:ilvl w:val="0"/>
                <w:numId w:val="0"/>
              </w:numPr>
              <w:jc w:val="left"/>
              <w:rPr>
                <w:rFonts w:hint="eastAsia" w:ascii="宋体" w:hAnsi="宋体" w:eastAsia="宋体" w:cs="宋体"/>
                <w:b w:val="0"/>
                <w:bCs w:val="0"/>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2" w:hRule="atLeast"/>
        </w:trPr>
        <w:tc>
          <w:tcPr>
            <w:tcW w:w="8522" w:type="dxa"/>
            <w:gridSpan w:val="11"/>
            <w:tcBorders>
              <w:left w:val="single" w:color="auto" w:sz="12" w:space="0"/>
              <w:bottom w:val="single" w:color="auto" w:sz="4" w:space="0"/>
              <w:right w:val="single" w:color="auto" w:sz="12" w:space="0"/>
            </w:tcBorders>
            <w:vAlign w:val="center"/>
          </w:tcPr>
          <w:p>
            <w:pPr>
              <w:numPr>
                <w:ilvl w:val="0"/>
                <w:numId w:val="0"/>
              </w:numPr>
              <w:jc w:val="left"/>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领导批示：</w:t>
            </w:r>
          </w:p>
          <w:p>
            <w:pPr>
              <w:numPr>
                <w:ilvl w:val="0"/>
                <w:numId w:val="0"/>
              </w:numPr>
              <w:jc w:val="left"/>
              <w:rPr>
                <w:rFonts w:hint="eastAsia" w:ascii="宋体" w:hAnsi="宋体" w:eastAsia="宋体" w:cs="宋体"/>
                <w:b w:val="0"/>
                <w:bCs w:val="0"/>
                <w:sz w:val="30"/>
                <w:szCs w:val="30"/>
                <w:lang w:val="en-US" w:eastAsia="zh-CN"/>
              </w:rPr>
            </w:pPr>
          </w:p>
          <w:p>
            <w:pPr>
              <w:numPr>
                <w:ilvl w:val="0"/>
                <w:numId w:val="0"/>
              </w:numPr>
              <w:jc w:val="left"/>
              <w:rPr>
                <w:rFonts w:hint="eastAsia" w:ascii="宋体" w:hAnsi="宋体" w:eastAsia="宋体" w:cs="宋体"/>
                <w:b w:val="0"/>
                <w:bCs w:val="0"/>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4" w:type="dxa"/>
            <w:gridSpan w:val="2"/>
            <w:tcBorders>
              <w:top w:val="single" w:color="auto" w:sz="4" w:space="0"/>
              <w:left w:val="single" w:color="auto" w:sz="12" w:space="0"/>
            </w:tcBorders>
            <w:vAlign w:val="center"/>
          </w:tcPr>
          <w:p>
            <w:pPr>
              <w:numPr>
                <w:ilvl w:val="0"/>
                <w:numId w:val="0"/>
              </w:numPr>
              <w:jc w:val="center"/>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承办</w:t>
            </w:r>
            <w:r>
              <w:rPr>
                <w:rFonts w:hint="eastAsia" w:ascii="宋体" w:hAnsi="宋体" w:cs="宋体"/>
                <w:b w:val="0"/>
                <w:bCs w:val="0"/>
                <w:sz w:val="30"/>
                <w:szCs w:val="30"/>
                <w:lang w:val="en-US" w:eastAsia="zh-CN"/>
              </w:rPr>
              <w:t>股室</w:t>
            </w:r>
          </w:p>
        </w:tc>
        <w:tc>
          <w:tcPr>
            <w:tcW w:w="2505" w:type="dxa"/>
            <w:gridSpan w:val="3"/>
            <w:tcBorders>
              <w:top w:val="single" w:color="auto" w:sz="4" w:space="0"/>
            </w:tcBorders>
            <w:vAlign w:val="center"/>
          </w:tcPr>
          <w:p>
            <w:pPr>
              <w:numPr>
                <w:ilvl w:val="0"/>
                <w:numId w:val="0"/>
              </w:numPr>
              <w:jc w:val="center"/>
              <w:rPr>
                <w:rFonts w:hint="eastAsia" w:ascii="宋体" w:hAnsi="宋体" w:eastAsia="宋体" w:cs="宋体"/>
                <w:b w:val="0"/>
                <w:bCs w:val="0"/>
                <w:sz w:val="30"/>
                <w:szCs w:val="30"/>
                <w:lang w:val="en-US" w:eastAsia="zh-CN"/>
              </w:rPr>
            </w:pPr>
          </w:p>
        </w:tc>
        <w:tc>
          <w:tcPr>
            <w:tcW w:w="2027" w:type="dxa"/>
            <w:gridSpan w:val="4"/>
            <w:tcBorders>
              <w:top w:val="single" w:color="auto" w:sz="4" w:space="0"/>
            </w:tcBorders>
            <w:vAlign w:val="center"/>
          </w:tcPr>
          <w:p>
            <w:pPr>
              <w:numPr>
                <w:ilvl w:val="0"/>
                <w:numId w:val="0"/>
              </w:numPr>
              <w:jc w:val="center"/>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查证是否属实</w:t>
            </w:r>
          </w:p>
        </w:tc>
        <w:tc>
          <w:tcPr>
            <w:tcW w:w="2436" w:type="dxa"/>
            <w:gridSpan w:val="2"/>
            <w:tcBorders>
              <w:top w:val="single" w:color="auto" w:sz="4" w:space="0"/>
              <w:right w:val="single" w:color="auto" w:sz="12" w:space="0"/>
            </w:tcBorders>
            <w:vAlign w:val="center"/>
          </w:tcPr>
          <w:p>
            <w:pPr>
              <w:numPr>
                <w:ilvl w:val="0"/>
                <w:numId w:val="0"/>
              </w:numPr>
              <w:jc w:val="center"/>
              <w:rPr>
                <w:rFonts w:hint="eastAsia" w:ascii="宋体" w:hAnsi="宋体" w:eastAsia="宋体" w:cs="宋体"/>
                <w:b w:val="0"/>
                <w:bCs w:val="0"/>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2" w:hRule="atLeast"/>
        </w:trPr>
        <w:tc>
          <w:tcPr>
            <w:tcW w:w="8522" w:type="dxa"/>
            <w:gridSpan w:val="11"/>
            <w:tcBorders>
              <w:left w:val="single" w:color="auto" w:sz="12" w:space="0"/>
              <w:bottom w:val="single" w:color="auto" w:sz="12" w:space="0"/>
              <w:right w:val="single" w:color="auto" w:sz="12" w:space="0"/>
            </w:tcBorders>
            <w:vAlign w:val="center"/>
          </w:tcPr>
          <w:p>
            <w:pPr>
              <w:numPr>
                <w:ilvl w:val="0"/>
                <w:numId w:val="0"/>
              </w:numPr>
              <w:jc w:val="left"/>
              <w:rPr>
                <w:rFonts w:hint="eastAsia"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承办情况：</w:t>
            </w:r>
          </w:p>
          <w:p>
            <w:pPr>
              <w:numPr>
                <w:ilvl w:val="0"/>
                <w:numId w:val="0"/>
              </w:numPr>
              <w:jc w:val="left"/>
              <w:rPr>
                <w:rFonts w:hint="eastAsia" w:ascii="宋体" w:hAnsi="宋体" w:eastAsia="宋体" w:cs="宋体"/>
                <w:b w:val="0"/>
                <w:bCs w:val="0"/>
                <w:sz w:val="30"/>
                <w:szCs w:val="30"/>
                <w:lang w:val="en-US" w:eastAsia="zh-CN"/>
              </w:rPr>
            </w:pPr>
          </w:p>
          <w:p>
            <w:pPr>
              <w:numPr>
                <w:ilvl w:val="0"/>
                <w:numId w:val="0"/>
              </w:numPr>
              <w:jc w:val="left"/>
              <w:rPr>
                <w:rFonts w:hint="eastAsia" w:ascii="宋体" w:hAnsi="宋体" w:eastAsia="宋体" w:cs="宋体"/>
                <w:b w:val="0"/>
                <w:bCs w:val="0"/>
                <w:sz w:val="30"/>
                <w:szCs w:val="30"/>
                <w:lang w:val="en-US" w:eastAsia="zh-CN"/>
              </w:rPr>
            </w:pPr>
          </w:p>
          <w:p>
            <w:pPr>
              <w:numPr>
                <w:ilvl w:val="0"/>
                <w:numId w:val="0"/>
              </w:numPr>
              <w:jc w:val="left"/>
              <w:rPr>
                <w:rFonts w:hint="eastAsia" w:ascii="宋体" w:hAnsi="宋体" w:eastAsia="宋体" w:cs="宋体"/>
                <w:b w:val="0"/>
                <w:bCs w:val="0"/>
                <w:sz w:val="30"/>
                <w:szCs w:val="30"/>
                <w:lang w:val="en-US" w:eastAsia="zh-CN"/>
              </w:rPr>
            </w:pPr>
          </w:p>
        </w:tc>
      </w:tr>
    </w:tbl>
    <w:p>
      <w:pPr>
        <w:numPr>
          <w:ilvl w:val="0"/>
          <w:numId w:val="0"/>
        </w:numPr>
        <w:rPr>
          <w:rFonts w:hint="eastAsia" w:ascii="仿宋_GB2312" w:hAnsi="仿宋_GB2312" w:eastAsia="仿宋_GB2312" w:cs="仿宋_GB2312"/>
          <w:sz w:val="32"/>
          <w:szCs w:val="32"/>
        </w:rPr>
      </w:pPr>
    </w:p>
    <w:sectPr>
      <w:headerReference r:id="rId3" w:type="default"/>
      <w:footerReference r:id="rId4" w:type="default"/>
      <w:pgSz w:w="11906" w:h="16838"/>
      <w:pgMar w:top="1984" w:right="1474" w:bottom="1871"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方正小标宋简体">
    <w:altName w:val="仿宋_GB2312"/>
    <w:panose1 w:val="03000509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方正仿宋简体">
    <w:altName w:val="宋体"/>
    <w:panose1 w:val="02010601030101010101"/>
    <w:charset w:val="86"/>
    <w:family w:val="auto"/>
    <w:pitch w:val="default"/>
    <w:sig w:usb0="00000000" w:usb1="00000000" w:usb2="0000001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
    <w:altName w:val="楷体_GB2312"/>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Tahoma">
    <w:panose1 w:val="020B0604030504040204"/>
    <w:charset w:val="00"/>
    <w:family w:val="auto"/>
    <w:pitch w:val="default"/>
    <w:sig w:usb0="61007A87" w:usb1="80000000" w:usb2="00000008" w:usb3="00000000" w:csb0="200101FF" w:csb1="20280000"/>
  </w:font>
  <w:font w:name="微软雅黑">
    <w:altName w:val="黑体"/>
    <w:panose1 w:val="020B0503020204020204"/>
    <w:charset w:val="86"/>
    <w:family w:val="swiss"/>
    <w:pitch w:val="default"/>
    <w:sig w:usb0="00000000" w:usb1="00000000" w:usb2="00000016" w:usb3="00000000" w:csb0="0004001F" w:csb1="00000000"/>
  </w:font>
  <w:font w:name="Dotum">
    <w:panose1 w:val="020B0600000101010101"/>
    <w:charset w:val="81"/>
    <w:family w:val="auto"/>
    <w:pitch w:val="default"/>
    <w:sig w:usb0="B00002AF" w:usb1="69D77CFB" w:usb2="00000030" w:usb3="00000000" w:csb0="4008009F" w:csb1="DFD70000"/>
  </w:font>
  <w:font w:name="华文中宋">
    <w:altName w:val="宋体"/>
    <w:panose1 w:val="02010600040101010101"/>
    <w:charset w:val="86"/>
    <w:family w:val="auto"/>
    <w:pitch w:val="default"/>
    <w:sig w:usb0="00000000" w:usb1="00000000" w:usb2="00000010" w:usb3="00000000" w:csb0="0004009F" w:csb1="00000000"/>
  </w:font>
  <w:font w:name="Calibri">
    <w:altName w:val="Lucida Sans Unicode"/>
    <w:panose1 w:val="020F0502020204030204"/>
    <w:charset w:val="01"/>
    <w:family w:val="swiss"/>
    <w:pitch w:val="default"/>
    <w:sig w:usb0="00000000" w:usb1="00000000" w:usb2="00000001" w:usb3="00000000" w:csb0="2000019F" w:csb1="00000000"/>
  </w:font>
  <w:font w:name="Webdings">
    <w:panose1 w:val="05030102010509060703"/>
    <w:charset w:val="02"/>
    <w:family w:val="roman"/>
    <w:pitch w:val="default"/>
    <w:sig w:usb0="00000000" w:usb1="00000000" w:usb2="00000000" w:usb3="00000000" w:csb0="80000000" w:csb1="00000000"/>
  </w:font>
  <w:font w:name="Lucida Sans Unicode">
    <w:panose1 w:val="020B0602030504020204"/>
    <w:charset w:val="01"/>
    <w:family w:val="swiss"/>
    <w:pitch w:val="default"/>
    <w:sig w:usb0="80001AFF" w:usb1="0000396B" w:usb2="00000000" w:usb3="00000000" w:csb0="0000003F" w:csb1="D7F70000"/>
  </w:font>
  <w:font w:name="方正小标宋_GBK">
    <w:altName w:val="宋体"/>
    <w:panose1 w:val="03000509000000000000"/>
    <w:charset w:val="86"/>
    <w:family w:val="auto"/>
    <w:pitch w:val="default"/>
    <w:sig w:usb0="00000000" w:usb1="0000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宋体 ! important">
    <w:altName w:val="宋体"/>
    <w:panose1 w:val="00000000000000000000"/>
    <w:charset w:val="00"/>
    <w:family w:val="auto"/>
    <w:pitch w:val="default"/>
    <w:sig w:usb0="00000000" w:usb1="00000000" w:usb2="00000000" w:usb3="00000000" w:csb0="00000000" w:csb1="00000000"/>
  </w:font>
  <w:font w:name="Microsoft YaHei">
    <w:altName w:val="Courier New"/>
    <w:panose1 w:val="00000000000000000000"/>
    <w:charset w:val="00"/>
    <w:family w:val="auto"/>
    <w:pitch w:val="default"/>
    <w:sig w:usb0="00000000" w:usb1="00000000" w:usb2="00000000" w:usb3="00000000" w:csb0="00000000" w:csb1="00000000"/>
  </w:font>
  <w:font w:name="MS Mincho">
    <w:altName w:val="MS UI Gothic"/>
    <w:panose1 w:val="02020609040205080304"/>
    <w:charset w:val="80"/>
    <w:family w:val="modern"/>
    <w:pitch w:val="default"/>
    <w:sig w:usb0="00000000" w:usb1="00000000" w:usb2="00000012" w:usb3="00000000" w:csb0="4002009F" w:csb1="DFD70000"/>
  </w:font>
  <w:font w:name="MS UI Gothic">
    <w:panose1 w:val="020B0600070205080204"/>
    <w:charset w:val="80"/>
    <w:family w:val="auto"/>
    <w:pitch w:val="default"/>
    <w:sig w:usb0="A00002BF" w:usb1="68C7FCFB" w:usb2="00000010" w:usb3="00000000" w:csb0="4002009F" w:csb1="DFD70000"/>
  </w:font>
  <w:font w:name="新宋体">
    <w:panose1 w:val="02010609030101010101"/>
    <w:charset w:val="86"/>
    <w:family w:val="auto"/>
    <w:pitch w:val="default"/>
    <w:sig w:usb0="00000003" w:usb1="080E0000" w:usb2="00000000"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华文宋体">
    <w:altName w:val="宋体"/>
    <w:panose1 w:val="02010600040101010101"/>
    <w:charset w:val="86"/>
    <w:family w:val="auto"/>
    <w:pitch w:val="default"/>
    <w:sig w:usb0="00000000" w:usb1="00000000" w:usb2="00000010" w:usb3="00000000" w:csb0="0004009F"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B7505F"/>
    <w:rsid w:val="0B91432E"/>
    <w:rsid w:val="173A62FD"/>
    <w:rsid w:val="18251F63"/>
    <w:rsid w:val="19601223"/>
    <w:rsid w:val="1EB059DD"/>
    <w:rsid w:val="25576C07"/>
    <w:rsid w:val="331545F6"/>
    <w:rsid w:val="3AC67A74"/>
    <w:rsid w:val="408758B3"/>
    <w:rsid w:val="410D2720"/>
    <w:rsid w:val="42B5711C"/>
    <w:rsid w:val="45883B14"/>
    <w:rsid w:val="5A915499"/>
    <w:rsid w:val="6DB7505F"/>
    <w:rsid w:val="769F1D9C"/>
    <w:rsid w:val="76FD161E"/>
    <w:rsid w:val="7765672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Strong"/>
    <w:basedOn w:val="4"/>
    <w:qFormat/>
    <w:uiPriority w:val="0"/>
    <w:rPr>
      <w:b/>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btLr"/>
    </w:tc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2019-08-07T02:46:00Z</dcterms:created>
  <dc:creator>Administrator</dc:creator>
  <cp:lastModifiedBy>Administrator</cp:lastModifiedBy>
  <cp:lastPrinted>2019-11-07T05:58:00Z</cp:lastPrinted>
  <dcterms:modified xsi:type="dcterms:W3CDTF">2020-06-03T02:55:10Z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